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imes New Roman" w:hAnsi="Times New Roman" w:eastAsia="黑体" w:cs="Times New Roman"/>
          <w:bCs/>
          <w:sz w:val="28"/>
          <w:lang w:eastAsia="zh-CN"/>
        </w:rPr>
      </w:pPr>
      <w:r>
        <w:rPr>
          <w:rFonts w:hint="eastAsia" w:ascii="Times New Roman" w:hAnsi="Times New Roman" w:eastAsia="黑体" w:cs="Times New Roman"/>
          <w:bCs/>
          <w:sz w:val="28"/>
          <w:lang w:eastAsia="zh-CN"/>
        </w:rPr>
        <w:drawing>
          <wp:inline distT="0" distB="0" distL="114300" distR="114300">
            <wp:extent cx="6759575" cy="9305925"/>
            <wp:effectExtent l="0" t="0" r="3175" b="9525"/>
            <wp:docPr id="5" name="图片 5" descr="艺术20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艺术2021_00"/>
                    <pic:cNvPicPr>
                      <a:picLocks noChangeAspect="1"/>
                    </pic:cNvPicPr>
                  </pic:nvPicPr>
                  <pic:blipFill>
                    <a:blip r:embed="rId6"/>
                    <a:stretch>
                      <a:fillRect/>
                    </a:stretch>
                  </pic:blipFill>
                  <pic:spPr>
                    <a:xfrm>
                      <a:off x="0" y="0"/>
                      <a:ext cx="6759575" cy="9305925"/>
                    </a:xfrm>
                    <a:prstGeom prst="rect">
                      <a:avLst/>
                    </a:prstGeom>
                  </pic:spPr>
                </pic:pic>
              </a:graphicData>
            </a:graphic>
          </wp:inline>
        </w:drawing>
      </w:r>
    </w:p>
    <w:p>
      <w:pPr>
        <w:widowControl/>
        <w:jc w:val="center"/>
        <w:rPr>
          <w:rFonts w:ascii="仿宋_GB2312" w:eastAsia="仿宋_GB2312" w:cs="仿宋_GB2312"/>
          <w:bCs/>
          <w:color w:val="auto"/>
          <w:sz w:val="28"/>
          <w:szCs w:val="28"/>
        </w:rPr>
      </w:pPr>
      <w:r>
        <w:rPr>
          <w:rFonts w:hint="eastAsia" w:ascii="黑体" w:hAnsi="黑体" w:eastAsia="黑体"/>
          <w:color w:val="auto"/>
          <w:sz w:val="32"/>
          <w:szCs w:val="32"/>
        </w:rPr>
        <w:t xml:space="preserve">第一部分  </w:t>
      </w:r>
      <w:r>
        <w:rPr>
          <w:rFonts w:hint="eastAsia" w:ascii="黑体" w:hAnsi="黑体" w:eastAsia="黑体" w:cs="黑体"/>
          <w:bCs/>
          <w:color w:val="auto"/>
          <w:sz w:val="32"/>
          <w:szCs w:val="32"/>
        </w:rPr>
        <w:t>年度报告编写提纲</w:t>
      </w:r>
      <w:r>
        <w:rPr>
          <w:rFonts w:hint="eastAsia" w:ascii="黑体" w:hAnsi="黑体" w:eastAsia="黑体" w:cs="仿宋_GB2312"/>
          <w:bCs/>
          <w:color w:val="auto"/>
          <w:sz w:val="32"/>
          <w:szCs w:val="32"/>
        </w:rPr>
        <w:t>（限</w:t>
      </w:r>
      <w:r>
        <w:rPr>
          <w:rFonts w:hint="eastAsia" w:ascii="黑体" w:hAnsi="黑体" w:eastAsia="黑体"/>
          <w:bCs/>
          <w:color w:val="auto"/>
          <w:sz w:val="32"/>
          <w:szCs w:val="32"/>
          <w:lang w:val="en-US" w:eastAsia="zh-CN"/>
        </w:rPr>
        <w:t>3</w:t>
      </w:r>
      <w:r>
        <w:rPr>
          <w:rFonts w:hint="eastAsia" w:ascii="黑体" w:hAnsi="黑体" w:eastAsia="黑体"/>
          <w:bCs/>
          <w:color w:val="auto"/>
          <w:sz w:val="32"/>
          <w:szCs w:val="32"/>
        </w:rPr>
        <w:t>000</w:t>
      </w:r>
      <w:r>
        <w:rPr>
          <w:rFonts w:hint="eastAsia" w:ascii="黑体" w:hAnsi="黑体" w:eastAsia="黑体" w:cs="仿宋_GB2312"/>
          <w:bCs/>
          <w:color w:val="auto"/>
          <w:sz w:val="32"/>
          <w:szCs w:val="32"/>
        </w:rPr>
        <w:t>字以内）</w:t>
      </w:r>
    </w:p>
    <w:p>
      <w:pPr>
        <w:keepNext w:val="0"/>
        <w:keepLines w:val="0"/>
        <w:pageBreakBefore w:val="0"/>
        <w:kinsoku/>
        <w:wordWrap/>
        <w:overflowPunct/>
        <w:topLinePunct w:val="0"/>
        <w:bidi w:val="0"/>
        <w:snapToGrid/>
        <w:spacing w:line="360" w:lineRule="auto"/>
        <w:ind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一、人才培养工作和成效</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一</w:t>
      </w: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立足国家级实验教学示范中心，</w:t>
      </w:r>
      <w:r>
        <w:rPr>
          <w:rFonts w:hint="eastAsia" w:ascii="宋体" w:hAnsi="宋体" w:eastAsia="宋体" w:cs="宋体"/>
          <w:b/>
          <w:bCs/>
          <w:color w:val="000000" w:themeColor="text1"/>
          <w:sz w:val="21"/>
          <w:szCs w:val="21"/>
          <w14:textFill>
            <w14:solidFill>
              <w14:schemeClr w14:val="tx1"/>
            </w14:solidFill>
          </w14:textFill>
        </w:rPr>
        <w:t>为学院“双一流”</w:t>
      </w:r>
      <w:r>
        <w:rPr>
          <w:rFonts w:hint="eastAsia" w:ascii="宋体" w:hAnsi="宋体" w:eastAsia="宋体" w:cs="宋体"/>
          <w:b/>
          <w:bCs/>
          <w:color w:val="000000" w:themeColor="text1"/>
          <w:sz w:val="21"/>
          <w:szCs w:val="21"/>
          <w:lang w:val="en-US" w:eastAsia="zh-Hans"/>
          <w14:textFill>
            <w14:solidFill>
              <w14:schemeClr w14:val="tx1"/>
            </w14:solidFill>
          </w14:textFill>
        </w:rPr>
        <w:t>学科</w:t>
      </w:r>
      <w:r>
        <w:rPr>
          <w:rFonts w:hint="eastAsia" w:ascii="宋体" w:hAnsi="宋体" w:eastAsia="宋体" w:cs="宋体"/>
          <w:b/>
          <w:bCs/>
          <w:color w:val="000000" w:themeColor="text1"/>
          <w:sz w:val="21"/>
          <w:szCs w:val="21"/>
          <w14:textFill>
            <w14:solidFill>
              <w14:schemeClr w14:val="tx1"/>
            </w14:solidFill>
          </w14:textFill>
        </w:rPr>
        <w:t>建设提供硬件支持，保障实验教学顺利开展。</w:t>
      </w:r>
    </w:p>
    <w:p>
      <w:pPr>
        <w:keepNext w:val="0"/>
        <w:keepLines w:val="0"/>
        <w:pageBreakBefore w:val="0"/>
        <w:kinsoku/>
        <w:wordWrap/>
        <w:overflowPunct/>
        <w:topLinePunct w:val="0"/>
        <w:bidi w:val="0"/>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传媒与艺术实验教学中心</w:t>
      </w:r>
      <w:r>
        <w:rPr>
          <w:rFonts w:hint="eastAsia" w:ascii="宋体" w:hAnsi="宋体" w:eastAsia="宋体" w:cs="宋体"/>
          <w:sz w:val="21"/>
          <w:szCs w:val="21"/>
          <w:lang w:val="en-US" w:eastAsia="zh-Hans"/>
        </w:rPr>
        <w:t>于</w:t>
      </w:r>
      <w:r>
        <w:rPr>
          <w:rFonts w:hint="eastAsia" w:ascii="宋体" w:hAnsi="宋体" w:eastAsia="宋体" w:cs="宋体"/>
          <w:sz w:val="21"/>
          <w:szCs w:val="21"/>
        </w:rPr>
        <w:t>2016年获评为国家级实验教学示范中心，秉承着“立足实践，全面服务”的理念，是北京师范大学涵盖全学科艺术与传媒实践、师生从游互动结合、日常教学和创新实践相互辅助的重要机构</w:t>
      </w:r>
      <w:r>
        <w:rPr>
          <w:rFonts w:hint="default" w:ascii="宋体" w:hAnsi="宋体" w:eastAsia="宋体" w:cs="宋体"/>
          <w:sz w:val="21"/>
          <w:szCs w:val="21"/>
        </w:rPr>
        <w:t>，</w:t>
      </w:r>
      <w:r>
        <w:rPr>
          <w:rFonts w:hint="eastAsia" w:ascii="宋体" w:hAnsi="宋体" w:eastAsia="宋体" w:cs="宋体"/>
          <w:sz w:val="21"/>
          <w:szCs w:val="21"/>
        </w:rPr>
        <w:t>一直以来中心都为学校、学院教学科研跃进提供重要基础支撑。自2017年“戏剧与影视学”在教育部学科评估中获得A+，并被评为“双一流”学科以来，中心在硬件方面全面保障学科建设发展与人才培养工作。</w:t>
      </w:r>
      <w:r>
        <w:rPr>
          <w:rFonts w:hint="eastAsia" w:ascii="宋体" w:hAnsi="宋体" w:eastAsia="宋体" w:cs="宋体"/>
          <w:sz w:val="21"/>
          <w:szCs w:val="21"/>
          <w:lang w:val="en-US" w:eastAsia="zh-Hans"/>
        </w:rPr>
        <w:t>为了更好服务学院双一流A+学科</w:t>
      </w:r>
      <w:r>
        <w:rPr>
          <w:rFonts w:hint="default" w:ascii="宋体" w:hAnsi="宋体" w:eastAsia="宋体" w:cs="宋体"/>
          <w:sz w:val="21"/>
          <w:szCs w:val="21"/>
          <w:lang w:eastAsia="zh-Hans"/>
        </w:rPr>
        <w:t>，</w:t>
      </w:r>
      <w:r>
        <w:rPr>
          <w:rFonts w:hint="eastAsia" w:ascii="宋体" w:hAnsi="宋体" w:eastAsia="宋体" w:cs="宋体"/>
          <w:sz w:val="21"/>
          <w:szCs w:val="21"/>
          <w:lang w:eastAsia="zh-Hans"/>
        </w:rPr>
        <w:t>在2021年投入实验室建设经费65万元，用于艺术类虚拟仿真项目建设与开发</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提升中心的硬件与软件设施</w:t>
      </w:r>
      <w:r>
        <w:rPr>
          <w:rFonts w:hint="eastAsia" w:ascii="宋体" w:hAnsi="宋体" w:eastAsia="宋体" w:cs="宋体"/>
          <w:sz w:val="21"/>
          <w:szCs w:val="21"/>
          <w:lang w:eastAsia="zh-Hans"/>
        </w:rPr>
        <w:t>。其中46万应用于虚拟仿真课程VR版软件开发，19万用于虚拟仿真硬件设施建设。</w:t>
      </w:r>
      <w:r>
        <w:rPr>
          <w:rFonts w:hint="eastAsia" w:ascii="宋体" w:hAnsi="宋体" w:eastAsia="宋体" w:cs="宋体"/>
          <w:sz w:val="21"/>
          <w:szCs w:val="21"/>
          <w:lang w:val="en-US" w:eastAsia="zh-Hans"/>
        </w:rPr>
        <w:t>在此过程中</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不仅</w:t>
      </w:r>
      <w:r>
        <w:rPr>
          <w:rFonts w:hint="eastAsia" w:ascii="宋体" w:hAnsi="宋体" w:eastAsia="宋体" w:cs="宋体"/>
          <w:sz w:val="21"/>
          <w:szCs w:val="21"/>
          <w:lang w:eastAsia="zh-Hans"/>
        </w:rPr>
        <w:t>投入</w:t>
      </w:r>
      <w:r>
        <w:rPr>
          <w:rFonts w:hint="eastAsia" w:ascii="宋体" w:hAnsi="宋体" w:eastAsia="宋体" w:cs="宋体"/>
          <w:sz w:val="21"/>
          <w:szCs w:val="21"/>
          <w:lang w:val="en-US" w:eastAsia="zh-Hans"/>
        </w:rPr>
        <w:t>了</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特殊场景</w:t>
      </w:r>
      <w:r>
        <w:rPr>
          <w:rFonts w:hint="eastAsia" w:ascii="宋体" w:hAnsi="宋体" w:eastAsia="宋体" w:cs="宋体"/>
          <w:sz w:val="21"/>
          <w:szCs w:val="21"/>
          <w:lang w:eastAsia="zh-Hans"/>
        </w:rPr>
        <w:t>虚拟仿真</w:t>
      </w:r>
      <w:r>
        <w:rPr>
          <w:rFonts w:hint="eastAsia" w:ascii="宋体" w:hAnsi="宋体" w:eastAsia="宋体" w:cs="宋体"/>
          <w:sz w:val="21"/>
          <w:szCs w:val="21"/>
          <w:lang w:val="en-US" w:eastAsia="zh-CN"/>
        </w:rPr>
        <w:t>影视拍摄</w:t>
      </w:r>
      <w:r>
        <w:rPr>
          <w:rFonts w:hint="eastAsia" w:ascii="宋体" w:hAnsi="宋体" w:eastAsia="宋体" w:cs="宋体"/>
          <w:sz w:val="21"/>
          <w:szCs w:val="21"/>
          <w:lang w:eastAsia="zh-Hans"/>
        </w:rPr>
        <w:t>实验》的软件研发，</w:t>
      </w:r>
      <w:r>
        <w:rPr>
          <w:rFonts w:hint="eastAsia" w:ascii="宋体" w:hAnsi="宋体" w:eastAsia="宋体" w:cs="宋体"/>
          <w:sz w:val="21"/>
          <w:szCs w:val="21"/>
          <w:lang w:val="en-US" w:eastAsia="zh-Hans"/>
        </w:rPr>
        <w:t>还确保了</w:t>
      </w:r>
      <w:r>
        <w:rPr>
          <w:rFonts w:hint="eastAsia" w:ascii="宋体" w:hAnsi="宋体" w:eastAsia="宋体" w:cs="宋体"/>
          <w:sz w:val="21"/>
          <w:szCs w:val="21"/>
          <w:lang w:eastAsia="zh-Hans"/>
        </w:rPr>
        <w:t>包括小间距LED立体大屏、3D发送器、立体眼镜、图形图像工作站</w:t>
      </w:r>
      <w:r>
        <w:rPr>
          <w:rFonts w:hint="eastAsia" w:ascii="宋体" w:hAnsi="宋体" w:eastAsia="宋体" w:cs="宋体"/>
          <w:sz w:val="21"/>
          <w:szCs w:val="21"/>
          <w:lang w:val="en-US" w:eastAsia="zh-Hans"/>
        </w:rPr>
        <w:t>在内的硬件设施的建设</w:t>
      </w:r>
      <w:r>
        <w:rPr>
          <w:rFonts w:hint="eastAsia" w:ascii="宋体" w:hAnsi="宋体" w:eastAsia="宋体" w:cs="宋体"/>
          <w:sz w:val="21"/>
          <w:szCs w:val="21"/>
          <w:lang w:eastAsia="zh-Hans"/>
        </w:rPr>
        <w:t>，为</w:t>
      </w:r>
      <w:r>
        <w:rPr>
          <w:rFonts w:hint="eastAsia" w:ascii="宋体" w:hAnsi="宋体" w:eastAsia="宋体" w:cs="宋体"/>
          <w:sz w:val="21"/>
          <w:szCs w:val="21"/>
          <w:lang w:val="en-US" w:eastAsia="zh-Hans"/>
        </w:rPr>
        <w:t>戏剧与</w:t>
      </w:r>
      <w:r>
        <w:rPr>
          <w:rFonts w:hint="eastAsia" w:ascii="宋体" w:hAnsi="宋体" w:eastAsia="宋体" w:cs="宋体"/>
          <w:sz w:val="21"/>
          <w:szCs w:val="21"/>
          <w:lang w:eastAsia="zh-Hans"/>
        </w:rPr>
        <w:t>影视</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数字媒体</w:t>
      </w:r>
      <w:r>
        <w:rPr>
          <w:rFonts w:hint="eastAsia" w:ascii="宋体" w:hAnsi="宋体" w:eastAsia="宋体" w:cs="宋体"/>
          <w:sz w:val="21"/>
          <w:szCs w:val="21"/>
          <w:lang w:eastAsia="zh-Hans"/>
        </w:rPr>
        <w:t>等相关专业以及对有应用教学需求的教师群体提供良好的使用体验。</w:t>
      </w:r>
      <w:r>
        <w:rPr>
          <w:rFonts w:hint="eastAsia" w:ascii="宋体" w:hAnsi="宋体" w:eastAsia="宋体" w:cs="宋体"/>
          <w:sz w:val="21"/>
          <w:szCs w:val="21"/>
        </w:rPr>
        <w:t>充分满足学院多学科实验教学和各类创新科研训练项目开展，为双一流学科建设、双一流大学建设作出贡献。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color w:val="000000" w:themeColor="text1"/>
          <w:sz w:val="21"/>
          <w:szCs w:val="21"/>
          <w:lang w:eastAsia="zh-Hans"/>
          <w14:textFill>
            <w14:solidFill>
              <w14:schemeClr w14:val="tx1"/>
            </w14:solidFill>
          </w14:textFill>
        </w:rPr>
      </w:pPr>
      <w:r>
        <w:rPr>
          <w:rFonts w:hint="default" w:ascii="宋体" w:hAnsi="宋体" w:eastAsia="宋体" w:cs="宋体"/>
          <w:b/>
          <w:bCs/>
          <w:color w:val="000000" w:themeColor="text1"/>
          <w:sz w:val="21"/>
          <w:szCs w:val="21"/>
          <w:lang w:eastAsia="zh-Hans"/>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二</w:t>
      </w:r>
      <w:r>
        <w:rPr>
          <w:rFonts w:hint="default" w:ascii="宋体" w:hAnsi="宋体" w:eastAsia="宋体" w:cs="宋体"/>
          <w:b/>
          <w:bCs/>
          <w:color w:val="000000" w:themeColor="text1"/>
          <w:sz w:val="21"/>
          <w:szCs w:val="21"/>
          <w:lang w:eastAsia="zh-Hans"/>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为全院师生提供优质教学环境</w:t>
      </w:r>
      <w:r>
        <w:rPr>
          <w:rFonts w:hint="default" w:ascii="宋体" w:hAnsi="宋体" w:eastAsia="宋体" w:cs="宋体"/>
          <w:b/>
          <w:bCs/>
          <w:color w:val="000000" w:themeColor="text1"/>
          <w:sz w:val="21"/>
          <w:szCs w:val="21"/>
          <w:lang w:eastAsia="zh-Hans"/>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保障实践教学工作的展开与创新</w:t>
      </w:r>
      <w:r>
        <w:rPr>
          <w:rFonts w:hint="default" w:ascii="宋体" w:hAnsi="宋体" w:eastAsia="宋体" w:cs="宋体"/>
          <w:b/>
          <w:bCs/>
          <w:color w:val="000000" w:themeColor="text1"/>
          <w:sz w:val="21"/>
          <w:szCs w:val="21"/>
          <w:lang w:eastAsia="zh-Hans"/>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20" w:firstLineChars="200"/>
        <w:textAlignment w:val="auto"/>
        <w:rPr>
          <w:rFonts w:hint="default" w:ascii="宋体" w:hAnsi="宋体" w:eastAsia="宋体" w:cs="宋体"/>
          <w:sz w:val="21"/>
          <w:szCs w:val="21"/>
          <w:lang w:eastAsia="zh-Hans"/>
        </w:rPr>
      </w:pPr>
      <w:r>
        <w:rPr>
          <w:rFonts w:hint="eastAsia" w:ascii="宋体" w:hAnsi="宋体" w:eastAsia="宋体" w:cs="宋体"/>
          <w:sz w:val="21"/>
          <w:szCs w:val="21"/>
          <w:lang w:eastAsia="zh-Hans"/>
        </w:rPr>
        <w:t>20</w:t>
      </w:r>
      <w:r>
        <w:rPr>
          <w:rFonts w:hint="default" w:ascii="宋体" w:hAnsi="宋体" w:eastAsia="宋体" w:cs="宋体"/>
          <w:sz w:val="21"/>
          <w:szCs w:val="21"/>
          <w:lang w:eastAsia="zh-Hans"/>
        </w:rPr>
        <w:t>21</w:t>
      </w:r>
      <w:r>
        <w:rPr>
          <w:rFonts w:hint="eastAsia" w:ascii="宋体" w:hAnsi="宋体" w:eastAsia="宋体" w:cs="宋体"/>
          <w:sz w:val="21"/>
          <w:szCs w:val="21"/>
          <w:lang w:eastAsia="zh-Hans"/>
        </w:rPr>
        <w:t>年</w:t>
      </w:r>
      <w:r>
        <w:rPr>
          <w:rFonts w:hint="default" w:ascii="宋体" w:hAnsi="宋体" w:eastAsia="宋体" w:cs="宋体"/>
          <w:sz w:val="21"/>
          <w:szCs w:val="21"/>
          <w:lang w:eastAsia="zh-Hans"/>
        </w:rPr>
        <w:t>，</w:t>
      </w:r>
      <w:r>
        <w:rPr>
          <w:rFonts w:hint="eastAsia" w:ascii="宋体" w:hAnsi="宋体" w:eastAsia="宋体" w:cs="宋体"/>
          <w:sz w:val="21"/>
          <w:szCs w:val="21"/>
          <w:lang w:eastAsia="zh-Hans"/>
        </w:rPr>
        <w:t>艺术楼</w:t>
      </w:r>
      <w:r>
        <w:rPr>
          <w:rFonts w:hint="eastAsia" w:ascii="宋体" w:hAnsi="宋体" w:eastAsia="宋体" w:cs="宋体"/>
          <w:sz w:val="21"/>
          <w:szCs w:val="21"/>
          <w:lang w:val="en-US" w:eastAsia="zh-Hans"/>
        </w:rPr>
        <w:t>的全部空间</w:t>
      </w:r>
      <w:r>
        <w:rPr>
          <w:rFonts w:hint="eastAsia" w:ascii="宋体" w:hAnsi="宋体" w:eastAsia="宋体" w:cs="宋体"/>
          <w:sz w:val="21"/>
          <w:szCs w:val="21"/>
          <w:lang w:eastAsia="zh-Hans"/>
        </w:rPr>
        <w:t>使用</w:t>
      </w:r>
      <w:r>
        <w:rPr>
          <w:rFonts w:hint="eastAsia" w:ascii="宋体" w:hAnsi="宋体" w:eastAsia="宋体" w:cs="宋体"/>
          <w:sz w:val="21"/>
          <w:szCs w:val="21"/>
          <w:lang w:val="en-US" w:eastAsia="zh-Hans"/>
        </w:rPr>
        <w:t>均</w:t>
      </w:r>
      <w:r>
        <w:rPr>
          <w:rFonts w:hint="eastAsia" w:ascii="宋体" w:hAnsi="宋体" w:eastAsia="宋体" w:cs="宋体"/>
          <w:sz w:val="21"/>
          <w:szCs w:val="21"/>
          <w:lang w:eastAsia="zh-Hans"/>
        </w:rPr>
        <w:t>较为频繁</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包含公共教室</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实践教学场地</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公共区域</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做好卫生消毒工作</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严控人员进出管理</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加强应急情况处置</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强化防疫常识普及</w:t>
      </w:r>
      <w:r>
        <w:rPr>
          <w:rFonts w:hint="default" w:ascii="宋体" w:hAnsi="宋体" w:eastAsia="宋体" w:cs="宋体"/>
          <w:sz w:val="21"/>
          <w:szCs w:val="21"/>
          <w:lang w:eastAsia="zh-Hans"/>
        </w:rPr>
        <w:t>。</w:t>
      </w:r>
      <w:r>
        <w:rPr>
          <w:rFonts w:hint="eastAsia" w:ascii="宋体" w:hAnsi="宋体" w:eastAsia="宋体" w:cs="宋体"/>
          <w:sz w:val="21"/>
          <w:szCs w:val="21"/>
          <w:lang w:eastAsia="zh-Hans"/>
        </w:rPr>
        <w:t>对艺术楼</w:t>
      </w:r>
      <w:r>
        <w:rPr>
          <w:rFonts w:hint="eastAsia" w:ascii="宋体" w:hAnsi="宋体" w:eastAsia="宋体" w:cs="宋体"/>
          <w:sz w:val="21"/>
          <w:szCs w:val="21"/>
          <w:lang w:val="en-US" w:eastAsia="zh-Hans"/>
        </w:rPr>
        <w:t>的内部空间以及外部环境</w:t>
      </w:r>
      <w:r>
        <w:rPr>
          <w:rFonts w:hint="eastAsia" w:ascii="宋体" w:hAnsi="宋体" w:eastAsia="宋体" w:cs="宋体"/>
          <w:sz w:val="21"/>
          <w:szCs w:val="21"/>
          <w:lang w:eastAsia="zh-Hans"/>
        </w:rPr>
        <w:t>进行</w:t>
      </w:r>
      <w:r>
        <w:rPr>
          <w:rFonts w:hint="eastAsia" w:ascii="宋体" w:hAnsi="宋体" w:eastAsia="宋体" w:cs="宋体"/>
          <w:sz w:val="21"/>
          <w:szCs w:val="21"/>
          <w:lang w:val="en-US" w:eastAsia="zh-Hans"/>
        </w:rPr>
        <w:t>定时</w:t>
      </w:r>
      <w:r>
        <w:rPr>
          <w:rFonts w:hint="eastAsia" w:ascii="宋体" w:hAnsi="宋体" w:eastAsia="宋体" w:cs="宋体"/>
          <w:sz w:val="21"/>
          <w:szCs w:val="21"/>
          <w:lang w:eastAsia="zh-Hans"/>
        </w:rPr>
        <w:t>整体</w:t>
      </w:r>
      <w:r>
        <w:rPr>
          <w:rFonts w:hint="eastAsia" w:ascii="宋体" w:hAnsi="宋体" w:eastAsia="宋体" w:cs="宋体"/>
          <w:sz w:val="21"/>
          <w:szCs w:val="21"/>
          <w:lang w:val="en-US" w:eastAsia="zh-Hans"/>
        </w:rPr>
        <w:t>的清洁与消毒</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以保证学院师生可以在放心的环境下工作与学习</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严格控制各个实验教学场地的使用人数</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聚集人数</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保证工作场所环境清洁</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如使用</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每日保证可以及时通风</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除此以外</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针对所有实践教学场所进行定期效仿安全检查</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以确保为全院师生提供优质教学环境</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推动实践教学工作的顺利开展</w:t>
      </w:r>
      <w:r>
        <w:rPr>
          <w:rFonts w:hint="default" w:ascii="宋体" w:hAnsi="宋体" w:eastAsia="宋体" w:cs="宋体"/>
          <w:sz w:val="21"/>
          <w:szCs w:val="21"/>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sz w:val="21"/>
          <w:szCs w:val="21"/>
          <w:lang w:eastAsia="zh-Hans"/>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三</w:t>
      </w: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lang w:val="en-US" w:eastAsia="zh-Hans"/>
          <w14:textFill>
            <w14:solidFill>
              <w14:schemeClr w14:val="tx1"/>
            </w14:solidFill>
          </w14:textFill>
        </w:rPr>
        <w:t>利用实践场地以及设备优势，为全学院师生提供最全面的技术保障工作</w:t>
      </w:r>
      <w:r>
        <w:rPr>
          <w:rFonts w:hint="eastAsia" w:ascii="宋体" w:hAnsi="宋体" w:eastAsia="宋体" w:cs="宋体"/>
          <w:b/>
          <w:bCs/>
          <w:color w:val="000000" w:themeColor="text1"/>
          <w:sz w:val="21"/>
          <w:szCs w:val="21"/>
          <w:lang w:eastAsia="zh-Hans"/>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rPr>
        <w:t>实验</w:t>
      </w:r>
      <w:r>
        <w:rPr>
          <w:rFonts w:hint="eastAsia" w:ascii="宋体" w:hAnsi="宋体" w:eastAsia="宋体" w:cs="宋体"/>
          <w:sz w:val="21"/>
          <w:szCs w:val="21"/>
          <w:lang w:val="en-US" w:eastAsia="zh-Hans"/>
        </w:rPr>
        <w:t>教学</w:t>
      </w:r>
      <w:r>
        <w:rPr>
          <w:rFonts w:hint="eastAsia" w:ascii="宋体" w:hAnsi="宋体" w:eastAsia="宋体" w:cs="宋体"/>
          <w:sz w:val="21"/>
          <w:szCs w:val="21"/>
        </w:rPr>
        <w:t>中心</w:t>
      </w:r>
      <w:r>
        <w:rPr>
          <w:rFonts w:hint="eastAsia" w:ascii="宋体" w:hAnsi="宋体" w:eastAsia="宋体" w:cs="宋体"/>
          <w:sz w:val="21"/>
          <w:szCs w:val="21"/>
          <w:lang w:val="en-US" w:eastAsia="zh-Hans"/>
        </w:rPr>
        <w:t>的场地覆盖艺术与传媒学院</w:t>
      </w:r>
      <w:r>
        <w:rPr>
          <w:rFonts w:hint="eastAsia" w:ascii="宋体" w:hAnsi="宋体" w:eastAsia="宋体" w:cs="宋体"/>
          <w:sz w:val="21"/>
          <w:szCs w:val="21"/>
          <w:lang w:eastAsia="zh-Hans"/>
        </w:rPr>
        <w:t>7</w:t>
      </w:r>
      <w:r>
        <w:rPr>
          <w:rFonts w:hint="eastAsia" w:ascii="宋体" w:hAnsi="宋体" w:eastAsia="宋体" w:cs="宋体"/>
          <w:sz w:val="21"/>
          <w:szCs w:val="21"/>
          <w:lang w:val="en-US" w:eastAsia="zh-Hans"/>
        </w:rPr>
        <w:t>个系</w:t>
      </w:r>
      <w:r>
        <w:rPr>
          <w:rFonts w:hint="eastAsia" w:ascii="宋体" w:hAnsi="宋体" w:eastAsia="宋体" w:cs="宋体"/>
          <w:sz w:val="21"/>
          <w:szCs w:val="21"/>
          <w:lang w:eastAsia="zh-Hans"/>
        </w:rPr>
        <w:t>8</w:t>
      </w:r>
      <w:r>
        <w:rPr>
          <w:rFonts w:hint="eastAsia" w:ascii="宋体" w:hAnsi="宋体" w:eastAsia="宋体" w:cs="宋体"/>
          <w:sz w:val="21"/>
          <w:szCs w:val="21"/>
          <w:lang w:val="en-US" w:eastAsia="zh-Hans"/>
        </w:rPr>
        <w:t>个专业全学科的教学工作</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由</w:t>
      </w:r>
      <w:r>
        <w:rPr>
          <w:rFonts w:hint="eastAsia" w:ascii="宋体" w:hAnsi="宋体" w:eastAsia="宋体" w:cs="宋体"/>
          <w:kern w:val="0"/>
          <w:sz w:val="21"/>
          <w:szCs w:val="21"/>
        </w:rPr>
        <w:t>多个独立实验教学场地</w:t>
      </w:r>
      <w:r>
        <w:rPr>
          <w:rFonts w:hint="eastAsia" w:ascii="宋体" w:hAnsi="宋体" w:eastAsia="宋体" w:cs="宋体"/>
          <w:kern w:val="0"/>
          <w:sz w:val="21"/>
          <w:szCs w:val="21"/>
          <w:lang w:val="en-US" w:eastAsia="zh-Hans"/>
        </w:rPr>
        <w:t>组成</w:t>
      </w:r>
      <w:r>
        <w:rPr>
          <w:rFonts w:hint="eastAsia" w:ascii="宋体" w:hAnsi="宋体" w:eastAsia="宋体" w:cs="宋体"/>
          <w:sz w:val="21"/>
          <w:szCs w:val="21"/>
          <w:lang w:eastAsia="zh-Hans"/>
        </w:rPr>
        <w:t>。</w:t>
      </w:r>
      <w:r>
        <w:rPr>
          <w:rFonts w:hint="eastAsia" w:ascii="宋体" w:hAnsi="宋体" w:eastAsia="宋体" w:cs="宋体"/>
          <w:sz w:val="21"/>
          <w:szCs w:val="21"/>
        </w:rPr>
        <w:t>据统计，2021年共向全院师生借还设备1052次；北国剧场</w:t>
      </w:r>
      <w:r>
        <w:rPr>
          <w:rFonts w:hint="eastAsia" w:ascii="宋体" w:hAnsi="宋体" w:eastAsia="宋体" w:cs="宋体"/>
          <w:sz w:val="21"/>
          <w:szCs w:val="21"/>
          <w:lang w:val="en-US" w:eastAsia="zh-Hans"/>
        </w:rPr>
        <w:t>作为综合性教学实践演出场地</w:t>
      </w:r>
      <w:r>
        <w:rPr>
          <w:rFonts w:hint="eastAsia" w:ascii="宋体" w:hAnsi="宋体" w:eastAsia="宋体" w:cs="宋体"/>
          <w:sz w:val="21"/>
          <w:szCs w:val="21"/>
          <w:lang w:eastAsia="zh-Hans"/>
        </w:rPr>
        <w:t>，</w:t>
      </w:r>
      <w:r>
        <w:rPr>
          <w:rFonts w:hint="eastAsia" w:ascii="宋体" w:hAnsi="宋体" w:eastAsia="宋体" w:cs="宋体"/>
          <w:sz w:val="21"/>
          <w:szCs w:val="21"/>
        </w:rPr>
        <w:t>全年借用325次，服务</w:t>
      </w:r>
      <w:r>
        <w:rPr>
          <w:rFonts w:hint="eastAsia" w:ascii="宋体" w:hAnsi="宋体" w:eastAsia="宋体" w:cs="宋体"/>
          <w:sz w:val="21"/>
          <w:szCs w:val="21"/>
          <w:lang w:val="en-US" w:eastAsia="zh-Hans"/>
        </w:rPr>
        <w:t>于</w:t>
      </w:r>
      <w:r>
        <w:rPr>
          <w:rFonts w:hint="eastAsia" w:ascii="宋体" w:hAnsi="宋体" w:eastAsia="宋体" w:cs="宋体"/>
          <w:sz w:val="21"/>
          <w:szCs w:val="21"/>
        </w:rPr>
        <w:t>师生毕业季、课程、演出、</w:t>
      </w:r>
      <w:r>
        <w:rPr>
          <w:rFonts w:hint="eastAsia" w:ascii="宋体" w:hAnsi="宋体" w:eastAsia="宋体" w:cs="宋体"/>
          <w:sz w:val="21"/>
          <w:szCs w:val="21"/>
          <w:lang w:val="en-US" w:eastAsia="zh-Hans"/>
        </w:rPr>
        <w:t>放映</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考试</w:t>
      </w:r>
      <w:r>
        <w:rPr>
          <w:rFonts w:hint="eastAsia" w:ascii="宋体" w:hAnsi="宋体" w:eastAsia="宋体" w:cs="宋体"/>
          <w:sz w:val="21"/>
          <w:szCs w:val="21"/>
          <w:lang w:eastAsia="zh-Hans"/>
        </w:rPr>
        <w:t>、</w:t>
      </w:r>
      <w:r>
        <w:rPr>
          <w:rFonts w:hint="eastAsia" w:ascii="宋体" w:hAnsi="宋体" w:eastAsia="宋体" w:cs="宋体"/>
          <w:sz w:val="21"/>
          <w:szCs w:val="21"/>
        </w:rPr>
        <w:t>比赛等</w:t>
      </w:r>
      <w:r>
        <w:rPr>
          <w:rFonts w:hint="eastAsia" w:ascii="宋体" w:hAnsi="宋体" w:eastAsia="宋体" w:cs="宋体"/>
          <w:sz w:val="21"/>
          <w:szCs w:val="21"/>
          <w:lang w:val="en-US" w:eastAsia="zh-Hans"/>
        </w:rPr>
        <w:t>丰富的</w:t>
      </w:r>
      <w:r>
        <w:rPr>
          <w:rFonts w:hint="eastAsia" w:ascii="宋体" w:hAnsi="宋体" w:eastAsia="宋体" w:cs="宋体"/>
          <w:sz w:val="21"/>
          <w:szCs w:val="21"/>
        </w:rPr>
        <w:t>实践活动；</w:t>
      </w:r>
      <w:r>
        <w:rPr>
          <w:rFonts w:hint="eastAsia" w:ascii="宋体" w:hAnsi="宋体" w:eastAsia="宋体" w:cs="宋体"/>
          <w:sz w:val="21"/>
          <w:szCs w:val="21"/>
          <w:lang w:val="en-US" w:eastAsia="zh-Hans"/>
        </w:rPr>
        <w:t>作为</w:t>
      </w:r>
      <w:r>
        <w:rPr>
          <w:rFonts w:hint="eastAsia" w:ascii="宋体" w:hAnsi="宋体" w:eastAsia="宋体" w:cs="宋体"/>
          <w:kern w:val="0"/>
          <w:sz w:val="21"/>
          <w:szCs w:val="21"/>
        </w:rPr>
        <w:t>教学研讨与观摩实践展示</w:t>
      </w:r>
      <w:r>
        <w:rPr>
          <w:rFonts w:hint="eastAsia" w:ascii="宋体" w:hAnsi="宋体" w:eastAsia="宋体" w:cs="宋体"/>
          <w:kern w:val="0"/>
          <w:sz w:val="21"/>
          <w:szCs w:val="21"/>
          <w:lang w:val="en-US" w:eastAsia="zh-Hans"/>
        </w:rPr>
        <w:t>的场地</w:t>
      </w:r>
      <w:r>
        <w:rPr>
          <w:rFonts w:hint="eastAsia" w:ascii="宋体" w:hAnsi="宋体" w:eastAsia="宋体" w:cs="宋体"/>
          <w:sz w:val="21"/>
          <w:szCs w:val="21"/>
        </w:rPr>
        <w:t>304何思敬讲堂、202会议室，分别借用288次、302次，用于举办</w:t>
      </w:r>
      <w:r>
        <w:rPr>
          <w:rFonts w:hint="eastAsia" w:ascii="宋体" w:hAnsi="宋体" w:eastAsia="宋体" w:cs="宋体"/>
          <w:sz w:val="21"/>
          <w:szCs w:val="21"/>
          <w:lang w:val="en-US" w:eastAsia="zh-Hans"/>
        </w:rPr>
        <w:t>学校</w:t>
      </w:r>
      <w:r>
        <w:rPr>
          <w:rFonts w:hint="eastAsia" w:ascii="宋体" w:hAnsi="宋体" w:eastAsia="宋体" w:cs="宋体"/>
          <w:sz w:val="21"/>
          <w:szCs w:val="21"/>
          <w:lang w:eastAsia="zh-Hans"/>
        </w:rPr>
        <w:t>、</w:t>
      </w:r>
      <w:r>
        <w:rPr>
          <w:rFonts w:hint="eastAsia" w:ascii="宋体" w:hAnsi="宋体" w:eastAsia="宋体" w:cs="宋体"/>
          <w:sz w:val="21"/>
          <w:szCs w:val="21"/>
        </w:rPr>
        <w:t>学院各类大型会议、讲座活动等；录音棚</w:t>
      </w:r>
      <w:r>
        <w:rPr>
          <w:rFonts w:hint="eastAsia" w:ascii="宋体" w:hAnsi="宋体" w:eastAsia="宋体" w:cs="宋体"/>
          <w:sz w:val="21"/>
          <w:szCs w:val="21"/>
          <w:lang w:val="en-US" w:eastAsia="zh-Hans"/>
        </w:rPr>
        <w:t>作为实践教学的场地</w:t>
      </w:r>
      <w:r>
        <w:rPr>
          <w:rFonts w:hint="eastAsia" w:ascii="宋体" w:hAnsi="宋体" w:eastAsia="宋体" w:cs="宋体"/>
          <w:sz w:val="21"/>
          <w:szCs w:val="21"/>
          <w:lang w:eastAsia="zh-Hans"/>
        </w:rPr>
        <w:t>，</w:t>
      </w:r>
      <w:r>
        <w:rPr>
          <w:rFonts w:hint="eastAsia" w:ascii="宋体" w:hAnsi="宋体" w:eastAsia="宋体" w:cs="宋体"/>
          <w:sz w:val="21"/>
          <w:szCs w:val="21"/>
        </w:rPr>
        <w:t>协助完成学校、</w:t>
      </w:r>
      <w:r>
        <w:rPr>
          <w:rFonts w:hint="eastAsia" w:ascii="宋体" w:hAnsi="宋体" w:eastAsia="宋体" w:cs="宋体"/>
          <w:sz w:val="21"/>
          <w:szCs w:val="21"/>
          <w:lang w:val="en-US" w:eastAsia="zh-Hans"/>
        </w:rPr>
        <w:t>学院</w:t>
      </w:r>
      <w:r>
        <w:rPr>
          <w:rFonts w:hint="eastAsia" w:ascii="宋体" w:hAnsi="宋体" w:eastAsia="宋体" w:cs="宋体"/>
          <w:sz w:val="21"/>
          <w:szCs w:val="21"/>
        </w:rPr>
        <w:t>多个</w:t>
      </w:r>
      <w:r>
        <w:rPr>
          <w:rFonts w:hint="eastAsia" w:ascii="宋体" w:hAnsi="宋体" w:eastAsia="宋体" w:cs="宋体"/>
          <w:sz w:val="21"/>
          <w:szCs w:val="21"/>
          <w:lang w:val="en-US" w:eastAsia="zh-Hans"/>
        </w:rPr>
        <w:t>大型活动以及相关</w:t>
      </w:r>
      <w:r>
        <w:rPr>
          <w:rFonts w:hint="eastAsia" w:ascii="宋体" w:hAnsi="宋体" w:eastAsia="宋体" w:cs="宋体"/>
          <w:sz w:val="21"/>
          <w:szCs w:val="21"/>
        </w:rPr>
        <w:t>课程</w:t>
      </w:r>
      <w:r>
        <w:rPr>
          <w:rFonts w:hint="eastAsia" w:ascii="宋体" w:hAnsi="宋体" w:eastAsia="宋体" w:cs="宋体"/>
          <w:sz w:val="21"/>
          <w:szCs w:val="21"/>
          <w:lang w:val="en-US" w:eastAsia="zh-Hans"/>
        </w:rPr>
        <w:t>的音乐录制任务</w:t>
      </w:r>
      <w:r>
        <w:rPr>
          <w:rFonts w:hint="eastAsia" w:ascii="宋体" w:hAnsi="宋体" w:eastAsia="宋体" w:cs="宋体"/>
          <w:sz w:val="21"/>
          <w:szCs w:val="21"/>
        </w:rPr>
        <w:t>，</w:t>
      </w:r>
      <w:r>
        <w:rPr>
          <w:rFonts w:hint="eastAsia" w:ascii="宋体" w:hAnsi="宋体" w:eastAsia="宋体" w:cs="宋体"/>
          <w:sz w:val="21"/>
          <w:szCs w:val="21"/>
          <w:lang w:val="en-US" w:eastAsia="zh-Hans"/>
        </w:rPr>
        <w:t>其中包含</w:t>
      </w:r>
      <w:r>
        <w:rPr>
          <w:rFonts w:hint="eastAsia" w:ascii="宋体" w:hAnsi="宋体" w:eastAsia="宋体" w:cs="宋体"/>
          <w:sz w:val="21"/>
          <w:szCs w:val="21"/>
        </w:rPr>
        <w:t>《信仰之光》北京师范大学“庆华诞·学党史”主题晚会、</w:t>
      </w:r>
      <w:r>
        <w:rPr>
          <w:rFonts w:hint="eastAsia" w:ascii="宋体" w:hAnsi="宋体" w:eastAsia="宋体" w:cs="宋体"/>
          <w:sz w:val="21"/>
          <w:szCs w:val="21"/>
          <w:lang w:val="en-US" w:eastAsia="zh-Hans"/>
        </w:rPr>
        <w:t>北师大原创音乐剧</w:t>
      </w:r>
      <w:r>
        <w:rPr>
          <w:rFonts w:hint="eastAsia" w:ascii="宋体" w:hAnsi="宋体" w:eastAsia="宋体" w:cs="宋体"/>
          <w:sz w:val="21"/>
          <w:szCs w:val="21"/>
        </w:rPr>
        <w:t>《往事歌谣》、</w:t>
      </w:r>
      <w:r>
        <w:rPr>
          <w:rFonts w:hint="eastAsia" w:ascii="宋体" w:hAnsi="宋体" w:eastAsia="宋体" w:cs="宋体"/>
          <w:sz w:val="21"/>
          <w:szCs w:val="21"/>
          <w:lang w:val="en-US" w:eastAsia="zh-Hans"/>
        </w:rPr>
        <w:t>北京国际电影节暨第</w:t>
      </w:r>
      <w:r>
        <w:rPr>
          <w:rFonts w:hint="eastAsia" w:ascii="宋体" w:hAnsi="宋体" w:eastAsia="宋体" w:cs="宋体"/>
          <w:sz w:val="21"/>
          <w:szCs w:val="21"/>
          <w:lang w:eastAsia="zh-Hans"/>
        </w:rPr>
        <w:t>28</w:t>
      </w:r>
      <w:r>
        <w:rPr>
          <w:rFonts w:hint="eastAsia" w:ascii="宋体" w:hAnsi="宋体" w:eastAsia="宋体" w:cs="宋体"/>
          <w:sz w:val="21"/>
          <w:szCs w:val="21"/>
          <w:lang w:val="en-US" w:eastAsia="zh-Hans"/>
        </w:rPr>
        <w:t>届</w:t>
      </w:r>
      <w:r>
        <w:rPr>
          <w:rFonts w:hint="eastAsia" w:ascii="宋体" w:hAnsi="宋体" w:eastAsia="宋体" w:cs="宋体"/>
          <w:sz w:val="21"/>
          <w:szCs w:val="21"/>
        </w:rPr>
        <w:t>北京大学生电影节</w:t>
      </w:r>
      <w:r>
        <w:rPr>
          <w:rFonts w:hint="eastAsia" w:ascii="宋体" w:hAnsi="宋体" w:eastAsia="宋体" w:cs="宋体"/>
          <w:sz w:val="21"/>
          <w:szCs w:val="21"/>
          <w:lang w:val="en-US" w:eastAsia="zh-Hans"/>
        </w:rPr>
        <w:t>闭</w:t>
      </w:r>
      <w:r>
        <w:rPr>
          <w:rFonts w:hint="eastAsia" w:ascii="宋体" w:hAnsi="宋体" w:eastAsia="宋体" w:cs="宋体"/>
          <w:sz w:val="21"/>
          <w:szCs w:val="21"/>
        </w:rPr>
        <w:t>幕式</w:t>
      </w:r>
      <w:r>
        <w:rPr>
          <w:rFonts w:hint="eastAsia" w:ascii="宋体" w:hAnsi="宋体" w:eastAsia="宋体" w:cs="宋体"/>
          <w:sz w:val="21"/>
          <w:szCs w:val="21"/>
          <w:lang w:val="en-US" w:eastAsia="zh-Hans"/>
        </w:rPr>
        <w:t>歌曲录制等</w:t>
      </w:r>
      <w:r>
        <w:rPr>
          <w:rFonts w:hint="eastAsia" w:ascii="宋体" w:hAnsi="宋体" w:eastAsia="宋体" w:cs="宋体"/>
          <w:sz w:val="21"/>
          <w:szCs w:val="21"/>
        </w:rPr>
        <w:t>。京师美术馆</w:t>
      </w:r>
      <w:r>
        <w:rPr>
          <w:rFonts w:hint="eastAsia" w:ascii="宋体" w:hAnsi="宋体" w:eastAsia="宋体" w:cs="宋体"/>
          <w:sz w:val="21"/>
          <w:szCs w:val="21"/>
          <w:lang w:val="en-US" w:eastAsia="zh-Hans"/>
        </w:rPr>
        <w:t>作为教学展示及学科融合共创的场地</w:t>
      </w:r>
      <w:r>
        <w:rPr>
          <w:rFonts w:hint="eastAsia" w:ascii="宋体" w:hAnsi="宋体" w:eastAsia="宋体" w:cs="宋体"/>
          <w:sz w:val="21"/>
          <w:szCs w:val="21"/>
          <w:lang w:eastAsia="zh-Hans"/>
        </w:rPr>
        <w:t>，</w:t>
      </w:r>
      <w:r>
        <w:rPr>
          <w:rFonts w:hint="eastAsia" w:ascii="宋体" w:hAnsi="宋体" w:eastAsia="宋体" w:cs="宋体"/>
          <w:sz w:val="21"/>
          <w:szCs w:val="21"/>
        </w:rPr>
        <w:t>全年</w:t>
      </w:r>
      <w:r>
        <w:rPr>
          <w:rFonts w:hint="eastAsia" w:ascii="宋体" w:hAnsi="宋体" w:eastAsia="宋体" w:cs="宋体"/>
          <w:sz w:val="21"/>
          <w:szCs w:val="21"/>
          <w:lang w:val="en-US" w:eastAsia="zh-Hans"/>
        </w:rPr>
        <w:t>展</w:t>
      </w:r>
      <w:r>
        <w:rPr>
          <w:rFonts w:hint="eastAsia" w:ascii="宋体" w:hAnsi="宋体" w:eastAsia="宋体" w:cs="宋体"/>
          <w:sz w:val="21"/>
          <w:szCs w:val="21"/>
        </w:rPr>
        <w:t>出</w:t>
      </w:r>
      <w:r>
        <w:rPr>
          <w:rFonts w:hint="eastAsia" w:ascii="宋体" w:hAnsi="宋体" w:eastAsia="宋体" w:cs="宋体"/>
          <w:sz w:val="21"/>
          <w:szCs w:val="21"/>
          <w:lang w:val="en-US" w:eastAsia="zh-Hans"/>
        </w:rPr>
        <w:t>近</w:t>
      </w:r>
      <w:r>
        <w:rPr>
          <w:rFonts w:hint="eastAsia" w:ascii="宋体" w:hAnsi="宋体" w:eastAsia="宋体" w:cs="宋体"/>
          <w:sz w:val="21"/>
          <w:szCs w:val="21"/>
        </w:rPr>
        <w:t>50余次，得到了业内外的高度赞誉，</w:t>
      </w:r>
      <w:r>
        <w:rPr>
          <w:rFonts w:hint="eastAsia" w:ascii="宋体" w:hAnsi="宋体" w:eastAsia="宋体" w:cs="宋体"/>
          <w:sz w:val="21"/>
          <w:szCs w:val="21"/>
          <w:lang w:val="en-US" w:eastAsia="zh-Hans"/>
        </w:rPr>
        <w:t>同时引发了多学科融合共创的艺术探索</w:t>
      </w:r>
      <w:r>
        <w:rPr>
          <w:rFonts w:hint="eastAsia" w:ascii="宋体" w:hAnsi="宋体" w:eastAsia="宋体" w:cs="宋体"/>
          <w:sz w:val="21"/>
          <w:szCs w:val="21"/>
        </w:rPr>
        <w:t>。此外，中心加大对于7层琴房、504音乐排演厅、演播棚、</w:t>
      </w:r>
      <w:r>
        <w:rPr>
          <w:rFonts w:hint="eastAsia" w:ascii="宋体" w:hAnsi="宋体" w:eastAsia="宋体" w:cs="宋体"/>
          <w:sz w:val="21"/>
          <w:szCs w:val="21"/>
          <w:lang w:val="en-US" w:eastAsia="zh-Hans"/>
        </w:rPr>
        <w:t>苹果机房</w:t>
      </w:r>
      <w:r>
        <w:rPr>
          <w:rFonts w:hint="eastAsia" w:ascii="宋体" w:hAnsi="宋体" w:eastAsia="宋体" w:cs="宋体"/>
          <w:sz w:val="21"/>
          <w:szCs w:val="21"/>
          <w:lang w:eastAsia="zh-Hans"/>
        </w:rPr>
        <w:t>、</w:t>
      </w:r>
      <w:r>
        <w:rPr>
          <w:rFonts w:hint="eastAsia" w:ascii="宋体" w:hAnsi="宋体" w:eastAsia="宋体" w:cs="宋体"/>
          <w:sz w:val="21"/>
          <w:szCs w:val="21"/>
        </w:rPr>
        <w:t>舞蹈练功房</w:t>
      </w:r>
      <w:r>
        <w:rPr>
          <w:rFonts w:hint="eastAsia" w:ascii="宋体" w:hAnsi="宋体" w:eastAsia="宋体" w:cs="宋体"/>
          <w:sz w:val="21"/>
          <w:szCs w:val="21"/>
          <w:lang w:val="en-US" w:eastAsia="zh-Hans"/>
        </w:rPr>
        <w:t>以及教学研修室</w:t>
      </w:r>
      <w:r>
        <w:rPr>
          <w:rFonts w:hint="eastAsia" w:ascii="宋体" w:hAnsi="宋体" w:eastAsia="宋体" w:cs="宋体"/>
          <w:sz w:val="21"/>
          <w:szCs w:val="21"/>
        </w:rPr>
        <w:t>等多个场地的借用与管理，力求涵盖学院各个部分，</w:t>
      </w:r>
      <w:r>
        <w:rPr>
          <w:rFonts w:hint="eastAsia" w:ascii="宋体" w:hAnsi="宋体" w:eastAsia="宋体" w:cs="宋体"/>
          <w:sz w:val="21"/>
          <w:szCs w:val="21"/>
          <w:lang w:val="en-US" w:eastAsia="zh-Hans"/>
        </w:rPr>
        <w:t>为全学院师生提供最全面的实践平台与技术保障工作</w:t>
      </w:r>
      <w:r>
        <w:rPr>
          <w:rFonts w:hint="eastAsia" w:ascii="宋体" w:hAnsi="宋体" w:eastAsia="宋体" w:cs="宋体"/>
          <w:sz w:val="21"/>
          <w:szCs w:val="21"/>
          <w:lang w:eastAsia="zh-Hans"/>
        </w:rPr>
        <w:t>。</w:t>
      </w:r>
    </w:p>
    <w:p>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66690" cy="2390140"/>
            <wp:effectExtent l="0" t="0" r="10160" b="10160"/>
            <wp:docPr id="3" name="图片 3" descr="16864968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6496878240"/>
                    <pic:cNvPicPr>
                      <a:picLocks noChangeAspect="1"/>
                    </pic:cNvPicPr>
                  </pic:nvPicPr>
                  <pic:blipFill>
                    <a:blip r:embed="rId7"/>
                    <a:stretch>
                      <a:fillRect/>
                    </a:stretch>
                  </pic:blipFill>
                  <pic:spPr>
                    <a:xfrm>
                      <a:off x="0" y="0"/>
                      <a:ext cx="5266690" cy="2390140"/>
                    </a:xfrm>
                    <a:prstGeom prst="rect">
                      <a:avLst/>
                    </a:prstGeom>
                  </pic:spPr>
                </pic:pic>
              </a:graphicData>
            </a:graphic>
          </wp:inline>
        </w:drawing>
      </w:r>
    </w:p>
    <w:p>
      <w:pPr>
        <w:keepNext w:val="0"/>
        <w:keepLines w:val="0"/>
        <w:pageBreakBefore w:val="0"/>
        <w:kinsoku/>
        <w:wordWrap/>
        <w:overflowPunct/>
        <w:topLinePunct w:val="0"/>
        <w:bidi w:val="0"/>
        <w:snapToGrid/>
        <w:spacing w:line="36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实验教学场地京师美术馆展览</w:t>
      </w:r>
    </w:p>
    <w:p>
      <w:pPr>
        <w:keepNext w:val="0"/>
        <w:keepLines w:val="0"/>
        <w:pageBreakBefore w:val="0"/>
        <w:numPr>
          <w:ilvl w:val="0"/>
          <w:numId w:val="1"/>
        </w:numPr>
        <w:kinsoku/>
        <w:wordWrap/>
        <w:overflowPunct/>
        <w:topLinePunct w:val="0"/>
        <w:bidi w:val="0"/>
        <w:snapToGrid/>
        <w:spacing w:line="360" w:lineRule="auto"/>
        <w:ind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人才队伍建设</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rPr>
      </w:pPr>
      <w:r>
        <w:rPr>
          <w:rFonts w:hint="default"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Hans"/>
        </w:rPr>
        <w:t>一</w:t>
      </w:r>
      <w:r>
        <w:rPr>
          <w:rFonts w:hint="default" w:ascii="宋体" w:hAnsi="宋体" w:eastAsia="宋体" w:cs="宋体"/>
          <w:b w:val="0"/>
          <w:bCs w:val="0"/>
          <w:color w:val="auto"/>
          <w:sz w:val="21"/>
          <w:szCs w:val="21"/>
        </w:rPr>
        <w:t>）</w:t>
      </w:r>
      <w:r>
        <w:rPr>
          <w:rFonts w:hint="eastAsia" w:ascii="宋体" w:hAnsi="宋体" w:eastAsia="宋体" w:cs="宋体"/>
          <w:b w:val="0"/>
          <w:bCs w:val="0"/>
          <w:color w:val="auto"/>
          <w:sz w:val="21"/>
          <w:szCs w:val="21"/>
        </w:rPr>
        <w:t>队伍建设基本情况。</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val="0"/>
          <w:color w:val="auto"/>
          <w:sz w:val="21"/>
          <w:szCs w:val="21"/>
        </w:rPr>
        <w:t>中心现有专职教师</w:t>
      </w: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rPr>
        <w:t>人、兼职</w:t>
      </w:r>
      <w:r>
        <w:rPr>
          <w:rFonts w:hint="eastAsia" w:ascii="宋体" w:hAnsi="宋体" w:eastAsia="宋体" w:cs="宋体"/>
          <w:b w:val="0"/>
          <w:bCs w:val="0"/>
          <w:color w:val="auto"/>
          <w:sz w:val="21"/>
          <w:szCs w:val="21"/>
          <w:lang w:val="en-US" w:eastAsia="zh-CN"/>
        </w:rPr>
        <w:t>23</w:t>
      </w:r>
      <w:r>
        <w:rPr>
          <w:rFonts w:hint="eastAsia" w:ascii="宋体" w:hAnsi="宋体" w:eastAsia="宋体" w:cs="宋体"/>
          <w:b w:val="0"/>
          <w:bCs w:val="0"/>
          <w:color w:val="auto"/>
          <w:sz w:val="21"/>
          <w:szCs w:val="21"/>
        </w:rPr>
        <w:t>人，承担实验类课程27门课程，覆盖全院本科生、研究生，承担学院、学校近百门课程。中心工作人员对</w:t>
      </w:r>
      <w:r>
        <w:rPr>
          <w:rFonts w:hint="eastAsia" w:ascii="宋体" w:hAnsi="宋体" w:eastAsia="宋体" w:cs="宋体"/>
          <w:b w:val="0"/>
          <w:bCs w:val="0"/>
          <w:color w:val="auto"/>
          <w:sz w:val="21"/>
          <w:szCs w:val="21"/>
          <w:lang w:val="en-US" w:eastAsia="zh-Hans"/>
        </w:rPr>
        <w:t>学员</w:t>
      </w:r>
      <w:r>
        <w:rPr>
          <w:rFonts w:hint="eastAsia" w:ascii="宋体" w:hAnsi="宋体" w:eastAsia="宋体" w:cs="宋体"/>
          <w:b w:val="0"/>
          <w:bCs w:val="0"/>
          <w:color w:val="auto"/>
          <w:sz w:val="21"/>
          <w:szCs w:val="21"/>
        </w:rPr>
        <w:t>内召开传媒与艺术工作座谈会，邀请各系青年教师、实践经验丰富教师参加，主动听取各系实际教学需求，逐步制定改进计划，更好满足中心教学服务机构的性质。</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（二）队伍建设的举措与取得的成绩。</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default" w:ascii="宋体" w:hAnsi="宋体" w:eastAsia="宋体" w:cs="宋体"/>
          <w:b w:val="0"/>
          <w:bCs w:val="0"/>
          <w:color w:val="auto"/>
          <w:sz w:val="21"/>
          <w:szCs w:val="21"/>
          <w:lang w:eastAsia="zh-Hans"/>
        </w:rPr>
      </w:pPr>
      <w:r>
        <w:rPr>
          <w:rFonts w:hint="eastAsia" w:ascii="宋体" w:hAnsi="宋体" w:eastAsia="宋体" w:cs="宋体"/>
          <w:b w:val="0"/>
          <w:bCs w:val="0"/>
          <w:color w:val="auto"/>
          <w:sz w:val="21"/>
          <w:szCs w:val="21"/>
        </w:rPr>
        <w:t>中心关注教师成长，积极鼓励教师申报职称，此外，积极鼓励教师开设实践类课程，开展科研课题研究，攻读博士学位等，全方位培养教师的业务能力。</w:t>
      </w:r>
      <w:r>
        <w:rPr>
          <w:rFonts w:hint="default" w:ascii="宋体" w:hAnsi="宋体" w:eastAsia="宋体" w:cs="宋体"/>
          <w:b w:val="0"/>
          <w:bCs w:val="0"/>
          <w:color w:val="auto"/>
          <w:sz w:val="21"/>
          <w:szCs w:val="21"/>
        </w:rPr>
        <w:t>2021</w:t>
      </w:r>
      <w:r>
        <w:rPr>
          <w:rFonts w:hint="eastAsia" w:ascii="宋体" w:hAnsi="宋体" w:eastAsia="宋体" w:cs="宋体"/>
          <w:b w:val="0"/>
          <w:bCs w:val="0"/>
          <w:color w:val="auto"/>
          <w:sz w:val="21"/>
          <w:szCs w:val="21"/>
          <w:lang w:val="en-US" w:eastAsia="zh-Hans"/>
        </w:rPr>
        <w:t>年度</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中心的</w:t>
      </w:r>
      <w:r>
        <w:rPr>
          <w:rFonts w:hint="eastAsia" w:ascii="宋体" w:hAnsi="宋体" w:eastAsia="宋体" w:cs="宋体"/>
          <w:b w:val="0"/>
          <w:bCs w:val="0"/>
          <w:color w:val="auto"/>
          <w:sz w:val="21"/>
          <w:szCs w:val="21"/>
          <w:lang w:val="en-US" w:eastAsia="zh-CN"/>
        </w:rPr>
        <w:t>专职、兼职教师</w:t>
      </w:r>
      <w:r>
        <w:rPr>
          <w:rFonts w:hint="eastAsia" w:ascii="宋体" w:hAnsi="宋体" w:eastAsia="宋体" w:cs="宋体"/>
          <w:b w:val="0"/>
          <w:bCs w:val="0"/>
          <w:color w:val="auto"/>
          <w:sz w:val="21"/>
          <w:szCs w:val="21"/>
          <w:lang w:val="en-US" w:eastAsia="zh-Hans"/>
        </w:rPr>
        <w:t>在不同层面也取得了优异的成绩</w:t>
      </w:r>
      <w:r>
        <w:rPr>
          <w:rFonts w:hint="default" w:ascii="宋体" w:hAnsi="宋体" w:eastAsia="宋体" w:cs="宋体"/>
          <w:b w:val="0"/>
          <w:bCs w:val="0"/>
          <w:color w:val="auto"/>
          <w:sz w:val="21"/>
          <w:szCs w:val="21"/>
          <w:lang w:eastAsia="zh-Hans"/>
        </w:rPr>
        <w:t>。</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val="0"/>
          <w:color w:val="auto"/>
          <w:sz w:val="21"/>
          <w:szCs w:val="21"/>
          <w:lang w:val="en-US" w:eastAsia="zh-Hans"/>
        </w:rPr>
        <w:t>人才培养工作方面</w:t>
      </w:r>
      <w:r>
        <w:rPr>
          <w:rFonts w:hint="eastAsia" w:ascii="宋体" w:hAnsi="宋体" w:eastAsia="宋体" w:cs="宋体"/>
          <w:b w:val="0"/>
          <w:bCs w:val="0"/>
          <w:color w:val="auto"/>
          <w:sz w:val="21"/>
          <w:szCs w:val="21"/>
          <w:lang w:eastAsia="zh-Hans"/>
        </w:rPr>
        <w:t>：</w:t>
      </w:r>
      <w:r>
        <w:rPr>
          <w:rFonts w:hint="eastAsia" w:ascii="宋体" w:hAnsi="宋体" w:eastAsia="宋体" w:cs="宋体"/>
          <w:color w:val="000000" w:themeColor="text1"/>
          <w:sz w:val="21"/>
          <w:szCs w:val="21"/>
          <w:lang w:val="en-US" w:eastAsia="zh-CN"/>
          <w14:textFill>
            <w14:solidFill>
              <w14:schemeClr w14:val="tx1"/>
            </w14:solidFill>
          </w14:textFill>
        </w:rPr>
        <w:t>中心专职、兼职</w:t>
      </w:r>
      <w:r>
        <w:rPr>
          <w:rFonts w:hint="eastAsia" w:ascii="宋体" w:hAnsi="宋体" w:eastAsia="宋体" w:cs="宋体"/>
          <w:color w:val="000000" w:themeColor="text1"/>
          <w:sz w:val="21"/>
          <w:szCs w:val="21"/>
          <w:lang w:eastAsia="zh-Hans"/>
          <w14:textFill>
            <w14:solidFill>
              <w14:schemeClr w14:val="tx1"/>
            </w14:solidFill>
          </w14:textFill>
        </w:rPr>
        <w:t>教师获评中宣部、教育部联合颁发的“最美教师”称号；入选文化名家暨“四个一批”人才、国家高层次人才特殊支持计划；入选国家高层次青年拔尖人才项目；入选教育部“高校网络教育名师培育支持计划”；获评“首都十大教育新闻人物”；获评国家级一流本科课程6项；获得校级教育教学成果奖一等奖8项、二等奖3项；获得北京师范大学教学名师1位、入选京师仲英学者1位、励耘优秀青年教师奖1项、彭年杰出青年教师奖2项</w:t>
      </w:r>
      <w:r>
        <w:rPr>
          <w:rFonts w:hint="default"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出版高等教育教材6</w:t>
      </w:r>
      <w:r>
        <w:rPr>
          <w:rFonts w:hint="eastAsia" w:ascii="宋体" w:hAnsi="宋体" w:eastAsia="宋体" w:cs="宋体"/>
          <w:color w:val="000000" w:themeColor="text1"/>
          <w:sz w:val="21"/>
          <w:szCs w:val="21"/>
          <w:lang w:val="en-US" w:eastAsia="zh-Hans"/>
          <w14:textFill>
            <w14:solidFill>
              <w14:schemeClr w14:val="tx1"/>
            </w14:solidFill>
          </w14:textFill>
        </w:rPr>
        <w:t>册</w:t>
      </w:r>
      <w:r>
        <w:rPr>
          <w:rFonts w:hint="eastAsia"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获评国家级一流本科课程6门，获评国家一流专业建设点2个，学生国内外竞赛获奖数量151项；</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default"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Hans"/>
          <w14:textFill>
            <w14:solidFill>
              <w14:schemeClr w14:val="tx1"/>
            </w14:solidFill>
          </w14:textFill>
        </w:rPr>
        <w:t>在国际合作交流工作中</w:t>
      </w:r>
      <w:r>
        <w:rPr>
          <w:rFonts w:hint="eastAsia"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本年度主办或承办国际会议（含线上）2次，参加国际学术会议做报告教师（含线上）3人次，开展中国文化海外传播项目或活动数2个</w:t>
      </w:r>
      <w:r>
        <w:rPr>
          <w:rFonts w:hint="default" w:ascii="宋体" w:hAnsi="宋体" w:eastAsia="宋体" w:cs="宋体"/>
          <w:color w:val="000000" w:themeColor="text1"/>
          <w:sz w:val="21"/>
          <w:szCs w:val="21"/>
          <w14:textFill>
            <w14:solidFill>
              <w14:schemeClr w14:val="tx1"/>
            </w14:solidFill>
          </w14:textFill>
        </w:rPr>
        <w:t>。</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default" w:ascii="宋体" w:hAnsi="宋体" w:eastAsia="宋体" w:cs="宋体"/>
          <w:b w:val="0"/>
          <w:bCs w:val="0"/>
          <w:color w:val="auto"/>
          <w:sz w:val="21"/>
          <w:szCs w:val="21"/>
          <w:lang w:eastAsia="zh-Hans"/>
        </w:rPr>
      </w:pPr>
      <w:r>
        <w:rPr>
          <w:rFonts w:hint="eastAsia" w:ascii="宋体" w:hAnsi="宋体" w:eastAsia="宋体" w:cs="宋体"/>
          <w:color w:val="000000" w:themeColor="text1"/>
          <w:sz w:val="21"/>
          <w:szCs w:val="21"/>
          <w:lang w:val="en-US" w:eastAsia="zh-Hans"/>
          <w14:textFill>
            <w14:solidFill>
              <w14:schemeClr w14:val="tx1"/>
            </w14:solidFill>
          </w14:textFill>
        </w:rPr>
        <w:t>在社会服务工作中</w:t>
      </w:r>
      <w:r>
        <w:rPr>
          <w:rFonts w:hint="eastAsia"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被省部级以上机构采纳的咨询报告数3个，编写中小学教材3册</w:t>
      </w:r>
      <w:r>
        <w:rPr>
          <w:rFonts w:hint="default" w:ascii="宋体" w:hAnsi="宋体" w:eastAsia="宋体" w:cs="宋体"/>
          <w:color w:val="000000" w:themeColor="text1"/>
          <w:sz w:val="21"/>
          <w:szCs w:val="21"/>
          <w14:textFill>
            <w14:solidFill>
              <w14:schemeClr w14:val="tx1"/>
            </w14:solidFill>
          </w14:textFill>
        </w:rPr>
        <w:t>。</w:t>
      </w:r>
    </w:p>
    <w:p>
      <w:pPr>
        <w:keepNext w:val="0"/>
        <w:keepLines w:val="0"/>
        <w:pageBreakBefore w:val="0"/>
        <w:numPr>
          <w:ilvl w:val="0"/>
          <w:numId w:val="0"/>
        </w:numPr>
        <w:kinsoku/>
        <w:wordWrap/>
        <w:overflowPunct/>
        <w:topLinePunct w:val="0"/>
        <w:bidi w:val="0"/>
        <w:snapToGrid/>
        <w:spacing w:line="360" w:lineRule="auto"/>
        <w:ind w:firstLine="420" w:firstLineChars="200"/>
        <w:textAlignment w:val="auto"/>
        <w:rPr>
          <w:rFonts w:hint="eastAsia" w:ascii="宋体" w:hAnsi="宋体" w:eastAsia="宋体" w:cs="宋体"/>
          <w:color w:val="000000" w:themeColor="text1"/>
          <w:sz w:val="21"/>
          <w:szCs w:val="21"/>
          <w:lang w:eastAsia="zh-Hans"/>
          <w14:textFill>
            <w14:solidFill>
              <w14:schemeClr w14:val="tx1"/>
            </w14:solidFill>
          </w14:textFill>
        </w:rPr>
      </w:pPr>
    </w:p>
    <w:p>
      <w:pPr>
        <w:keepNext w:val="0"/>
        <w:keepLines w:val="0"/>
        <w:pageBreakBefore w:val="0"/>
        <w:kinsoku/>
        <w:wordWrap/>
        <w:overflowPunct/>
        <w:topLinePunct w:val="0"/>
        <w:bidi w:val="0"/>
        <w:snapToGrid/>
        <w:spacing w:line="360" w:lineRule="auto"/>
        <w:ind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三、教学改革与科学研究</w:t>
      </w:r>
    </w:p>
    <w:p>
      <w:pPr>
        <w:pStyle w:val="29"/>
        <w:keepNext w:val="0"/>
        <w:keepLines w:val="0"/>
        <w:pageBreakBefore w:val="0"/>
        <w:numPr>
          <w:ilvl w:val="0"/>
          <w:numId w:val="2"/>
        </w:numPr>
        <w:kinsoku/>
        <w:wordWrap/>
        <w:overflowPunct/>
        <w:topLinePunct w:val="0"/>
        <w:bidi w:val="0"/>
        <w:snapToGrid/>
        <w:spacing w:line="360" w:lineRule="auto"/>
        <w:ind w:firstLine="422" w:firstLineChars="200"/>
        <w:jc w:val="both"/>
        <w:textAlignment w:val="auto"/>
        <w:rPr>
          <w:rFonts w:hint="eastAsia" w:ascii="宋体" w:hAnsi="宋体" w:eastAsia="宋体" w:cs="宋体"/>
          <w:b/>
          <w:bCs/>
          <w:color w:val="auto"/>
          <w:kern w:val="2"/>
          <w:sz w:val="21"/>
          <w:szCs w:val="21"/>
          <w:highlight w:val="none"/>
          <w:lang w:val="en-US" w:eastAsia="zh-Hans"/>
        </w:rPr>
      </w:pPr>
      <w:r>
        <w:rPr>
          <w:rFonts w:hint="eastAsia" w:ascii="宋体" w:hAnsi="宋体" w:eastAsia="宋体" w:cs="宋体"/>
          <w:b/>
          <w:bCs/>
          <w:color w:val="auto"/>
          <w:kern w:val="2"/>
          <w:sz w:val="21"/>
          <w:szCs w:val="21"/>
          <w:highlight w:val="none"/>
          <w:lang w:val="en-US" w:eastAsia="zh-Hans"/>
        </w:rPr>
        <w:t>教学改革情况</w:t>
      </w:r>
    </w:p>
    <w:p>
      <w:pPr>
        <w:pStyle w:val="29"/>
        <w:keepNext w:val="0"/>
        <w:keepLines w:val="0"/>
        <w:pageBreakBefore w:val="0"/>
        <w:numPr>
          <w:ilvl w:val="0"/>
          <w:numId w:val="0"/>
        </w:numPr>
        <w:kinsoku/>
        <w:wordWrap/>
        <w:overflowPunct/>
        <w:topLinePunct w:val="0"/>
        <w:bidi w:val="0"/>
        <w:snapToGrid/>
        <w:spacing w:line="360" w:lineRule="auto"/>
        <w:ind w:firstLine="420" w:firstLineChars="200"/>
        <w:jc w:val="both"/>
        <w:textAlignment w:val="auto"/>
        <w:rPr>
          <w:rFonts w:hint="default" w:ascii="宋体" w:hAnsi="宋体" w:eastAsia="宋体" w:cs="宋体"/>
          <w:b w:val="0"/>
          <w:bCs w:val="0"/>
          <w:color w:val="auto"/>
          <w:kern w:val="2"/>
          <w:sz w:val="21"/>
          <w:szCs w:val="21"/>
          <w:lang w:val="en-US" w:eastAsia="zh-Hans"/>
        </w:rPr>
      </w:pPr>
      <w:r>
        <w:rPr>
          <w:rFonts w:hint="default" w:ascii="宋体" w:hAnsi="宋体" w:eastAsia="宋体" w:cs="宋体"/>
          <w:b w:val="0"/>
          <w:bCs w:val="0"/>
          <w:color w:val="auto"/>
          <w:kern w:val="2"/>
          <w:sz w:val="21"/>
          <w:szCs w:val="21"/>
          <w:lang w:eastAsia="zh-Hans"/>
        </w:rPr>
        <w:t>2021</w:t>
      </w:r>
      <w:r>
        <w:rPr>
          <w:rFonts w:hint="eastAsia" w:ascii="宋体" w:hAnsi="宋体" w:eastAsia="宋体" w:cs="宋体"/>
          <w:b w:val="0"/>
          <w:bCs w:val="0"/>
          <w:color w:val="auto"/>
          <w:kern w:val="2"/>
          <w:sz w:val="21"/>
          <w:szCs w:val="21"/>
          <w:lang w:val="en-US" w:eastAsia="zh-Hans"/>
        </w:rPr>
        <w:t>年</w:t>
      </w:r>
      <w:r>
        <w:rPr>
          <w:rFonts w:hint="default" w:ascii="宋体" w:hAnsi="宋体" w:eastAsia="宋体" w:cs="宋体"/>
          <w:b w:val="0"/>
          <w:bCs w:val="0"/>
          <w:color w:val="auto"/>
          <w:kern w:val="2"/>
          <w:sz w:val="21"/>
          <w:szCs w:val="21"/>
          <w:lang w:val="en-US" w:eastAsia="zh-Hans"/>
        </w:rPr>
        <w:t>来，面对数字化转型的今天，中心面向前沿，主要探索数字化技术为实验教学提供的创新与互动可能性，通过一系列前沿课程开发，提升学生的学习体验、拓展教学方法，培养学生在数字时代所需的信息技术能力和创新思维。</w:t>
      </w:r>
      <w:r>
        <w:rPr>
          <w:rFonts w:hint="eastAsia" w:ascii="宋体" w:hAnsi="宋体" w:eastAsia="宋体" w:cs="宋体"/>
          <w:b w:val="0"/>
          <w:bCs w:val="0"/>
          <w:color w:val="auto"/>
          <w:kern w:val="2"/>
          <w:sz w:val="21"/>
          <w:szCs w:val="21"/>
          <w:lang w:val="en-US" w:eastAsia="zh-Hans"/>
        </w:rPr>
        <w:t>与此同时</w:t>
      </w:r>
      <w:r>
        <w:rPr>
          <w:rFonts w:hint="default" w:ascii="宋体" w:hAnsi="宋体" w:eastAsia="宋体" w:cs="宋体"/>
          <w:b w:val="0"/>
          <w:bCs w:val="0"/>
          <w:color w:val="auto"/>
          <w:kern w:val="2"/>
          <w:sz w:val="21"/>
          <w:szCs w:val="21"/>
          <w:lang w:eastAsia="zh-Hans"/>
        </w:rPr>
        <w:t>，</w:t>
      </w:r>
      <w:r>
        <w:rPr>
          <w:rFonts w:hint="eastAsia" w:ascii="宋体" w:hAnsi="宋体" w:eastAsia="宋体" w:cs="宋体"/>
          <w:b w:val="0"/>
          <w:bCs w:val="0"/>
          <w:color w:val="auto"/>
          <w:kern w:val="2"/>
          <w:sz w:val="21"/>
          <w:szCs w:val="21"/>
          <w:lang w:val="en-US" w:eastAsia="zh-Hans"/>
        </w:rPr>
        <w:t>中心也一直在</w:t>
      </w:r>
      <w:r>
        <w:rPr>
          <w:rFonts w:hint="default" w:ascii="宋体" w:hAnsi="宋体" w:eastAsia="宋体" w:cs="宋体"/>
          <w:b w:val="0"/>
          <w:bCs w:val="0"/>
          <w:color w:val="auto"/>
          <w:kern w:val="2"/>
          <w:sz w:val="21"/>
          <w:szCs w:val="21"/>
          <w:lang w:val="en-US" w:eastAsia="zh-Hans"/>
        </w:rPr>
        <w:t>北京师范大学校领导与各部门的支持下，秉承</w:t>
      </w:r>
      <w:r>
        <w:rPr>
          <w:rFonts w:hint="eastAsia" w:ascii="宋体" w:hAnsi="宋体" w:eastAsia="宋体" w:cs="宋体"/>
          <w:b w:val="0"/>
          <w:bCs w:val="0"/>
          <w:color w:val="auto"/>
          <w:kern w:val="2"/>
          <w:sz w:val="21"/>
          <w:szCs w:val="21"/>
          <w:lang w:val="en-US" w:eastAsia="zh-Hans"/>
        </w:rPr>
        <w:t>着</w:t>
      </w:r>
      <w:r>
        <w:rPr>
          <w:rFonts w:hint="default" w:ascii="宋体" w:hAnsi="宋体" w:eastAsia="宋体" w:cs="宋体"/>
          <w:b w:val="0"/>
          <w:bCs w:val="0"/>
          <w:color w:val="auto"/>
          <w:kern w:val="2"/>
          <w:sz w:val="21"/>
          <w:szCs w:val="21"/>
          <w:lang w:val="en-US" w:eastAsia="zh-Hans"/>
        </w:rPr>
        <w:t>“艺术+科技+教育+创新”</w:t>
      </w:r>
      <w:r>
        <w:rPr>
          <w:rFonts w:hint="eastAsia" w:ascii="宋体" w:hAnsi="宋体" w:eastAsia="宋体" w:cs="宋体"/>
          <w:b w:val="0"/>
          <w:bCs w:val="0"/>
          <w:color w:val="auto"/>
          <w:kern w:val="2"/>
          <w:sz w:val="21"/>
          <w:szCs w:val="21"/>
          <w:lang w:val="en-US" w:eastAsia="zh-Hans"/>
        </w:rPr>
        <w:t>从</w:t>
      </w:r>
      <w:r>
        <w:rPr>
          <w:rFonts w:hint="default" w:ascii="宋体" w:hAnsi="宋体" w:eastAsia="宋体" w:cs="宋体"/>
          <w:b w:val="0"/>
          <w:bCs w:val="0"/>
          <w:color w:val="auto"/>
          <w:kern w:val="2"/>
          <w:sz w:val="21"/>
          <w:szCs w:val="21"/>
          <w:lang w:val="en-US" w:eastAsia="zh-Hans"/>
        </w:rPr>
        <w:t>游式核心教学理念，</w:t>
      </w:r>
      <w:r>
        <w:rPr>
          <w:rFonts w:hint="eastAsia" w:ascii="宋体" w:hAnsi="宋体" w:eastAsia="宋体" w:cs="宋体"/>
          <w:kern w:val="0"/>
          <w:sz w:val="21"/>
          <w:szCs w:val="21"/>
          <w:lang w:val="en-US" w:eastAsia="zh-Hans"/>
        </w:rPr>
        <w:t>通过</w:t>
      </w:r>
      <w:r>
        <w:rPr>
          <w:rFonts w:hint="eastAsia" w:ascii="宋体" w:hAnsi="宋体" w:eastAsia="宋体" w:cs="宋体"/>
          <w:kern w:val="0"/>
          <w:sz w:val="21"/>
          <w:szCs w:val="21"/>
        </w:rPr>
        <w:t>艺术和科技、教育和创作的</w:t>
      </w:r>
      <w:r>
        <w:rPr>
          <w:rFonts w:hint="eastAsia" w:ascii="宋体" w:hAnsi="宋体" w:eastAsia="宋体" w:cs="宋体"/>
          <w:kern w:val="0"/>
          <w:sz w:val="21"/>
          <w:szCs w:val="21"/>
          <w:lang w:val="en-US" w:eastAsia="zh-Hans"/>
        </w:rPr>
        <w:t>融合与</w:t>
      </w:r>
      <w:r>
        <w:rPr>
          <w:rFonts w:hint="eastAsia" w:ascii="宋体" w:hAnsi="宋体" w:eastAsia="宋体" w:cs="宋体"/>
          <w:kern w:val="0"/>
          <w:sz w:val="21"/>
          <w:szCs w:val="21"/>
        </w:rPr>
        <w:t>互动，培养学生的综合能力和适应未来社会发展的能力。</w:t>
      </w:r>
      <w:r>
        <w:rPr>
          <w:rFonts w:hint="default" w:ascii="宋体" w:hAnsi="宋体" w:eastAsia="宋体" w:cs="宋体"/>
          <w:b w:val="0"/>
          <w:bCs w:val="0"/>
          <w:color w:val="auto"/>
          <w:kern w:val="2"/>
          <w:sz w:val="21"/>
          <w:szCs w:val="21"/>
          <w:lang w:val="en-US" w:eastAsia="zh-Hans"/>
        </w:rPr>
        <w:t>建立了“四个面向”服务的实验教学体系，</w:t>
      </w:r>
      <w:r>
        <w:rPr>
          <w:rFonts w:hint="eastAsia" w:ascii="宋体" w:hAnsi="宋体" w:eastAsia="宋体" w:cs="宋体"/>
          <w:b w:val="0"/>
          <w:bCs w:val="0"/>
          <w:color w:val="auto"/>
          <w:kern w:val="2"/>
          <w:sz w:val="21"/>
          <w:szCs w:val="21"/>
          <w:lang w:val="en-US" w:eastAsia="zh-Hans"/>
        </w:rPr>
        <w:t>即服务国家大型活动、服务行业、服务社会、服务前沿的教学体系</w:t>
      </w:r>
      <w:r>
        <w:rPr>
          <w:rFonts w:hint="default" w:ascii="宋体" w:hAnsi="宋体" w:eastAsia="宋体" w:cs="宋体"/>
          <w:b w:val="0"/>
          <w:bCs w:val="0"/>
          <w:color w:val="auto"/>
          <w:kern w:val="2"/>
          <w:sz w:val="21"/>
          <w:szCs w:val="21"/>
          <w:lang w:eastAsia="zh-Hans"/>
        </w:rPr>
        <w:t>，2021年</w:t>
      </w:r>
      <w:r>
        <w:rPr>
          <w:rFonts w:hint="eastAsia" w:ascii="宋体" w:hAnsi="宋体" w:eastAsia="宋体" w:cs="宋体"/>
          <w:b w:val="0"/>
          <w:bCs w:val="0"/>
          <w:color w:val="auto"/>
          <w:kern w:val="2"/>
          <w:sz w:val="21"/>
          <w:szCs w:val="21"/>
          <w:lang w:val="en-US" w:eastAsia="zh-Hans"/>
        </w:rPr>
        <w:t>我院师生参与了</w:t>
      </w:r>
      <w:r>
        <w:rPr>
          <w:rFonts w:hint="default" w:ascii="宋体" w:hAnsi="宋体" w:eastAsia="宋体" w:cs="宋体"/>
          <w:b w:val="0"/>
          <w:bCs w:val="0"/>
          <w:color w:val="auto"/>
          <w:kern w:val="2"/>
          <w:sz w:val="21"/>
          <w:szCs w:val="21"/>
          <w:lang w:eastAsia="zh-Hans"/>
        </w:rPr>
        <w:t>庆祝中国共产党成立 100 周年大会天安门广场活动、大型情景史诗《伟大征程》</w:t>
      </w:r>
      <w:r>
        <w:rPr>
          <w:rFonts w:hint="eastAsia" w:ascii="宋体" w:hAnsi="宋体" w:eastAsia="宋体" w:cs="宋体"/>
          <w:b w:val="0"/>
          <w:bCs w:val="0"/>
          <w:color w:val="auto"/>
          <w:kern w:val="2"/>
          <w:sz w:val="21"/>
          <w:szCs w:val="21"/>
          <w:lang w:val="en-US" w:eastAsia="zh-Hans"/>
        </w:rPr>
        <w:t>的演出</w:t>
      </w:r>
      <w:r>
        <w:rPr>
          <w:rFonts w:hint="default" w:ascii="宋体" w:hAnsi="宋体" w:eastAsia="宋体" w:cs="宋体"/>
          <w:b w:val="0"/>
          <w:bCs w:val="0"/>
          <w:color w:val="auto"/>
          <w:kern w:val="2"/>
          <w:sz w:val="21"/>
          <w:szCs w:val="21"/>
          <w:lang w:eastAsia="zh-Hans"/>
        </w:rPr>
        <w:t>，为现代礼制下国家庆典活动的创新实践起到积极的引领示范作用，并且为学生提供实践机会，培养他们的舞台表演能力、创造力和团队合作精神，以适应现代舞台艺术的需求，以培养学生的家国情怀，为中国式现代化人才教育培养做出贡献</w:t>
      </w:r>
      <w:r>
        <w:rPr>
          <w:rFonts w:hint="default" w:ascii="宋体" w:hAnsi="宋体" w:eastAsia="宋体" w:cs="宋体"/>
          <w:b w:val="0"/>
          <w:bCs w:val="0"/>
          <w:color w:val="auto"/>
          <w:kern w:val="2"/>
          <w:sz w:val="21"/>
          <w:szCs w:val="21"/>
          <w:lang w:val="en-US" w:eastAsia="zh-Hans"/>
        </w:rPr>
        <w:t>。</w:t>
      </w:r>
    </w:p>
    <w:p>
      <w:pPr>
        <w:pStyle w:val="29"/>
        <w:keepNext w:val="0"/>
        <w:keepLines w:val="0"/>
        <w:pageBreakBefore w:val="0"/>
        <w:kinsoku/>
        <w:wordWrap/>
        <w:overflowPunct/>
        <w:topLinePunct w:val="0"/>
        <w:bidi w:val="0"/>
        <w:snapToGrid/>
        <w:spacing w:line="360" w:lineRule="auto"/>
        <w:ind w:firstLine="422" w:firstLineChars="200"/>
        <w:jc w:val="both"/>
        <w:textAlignment w:val="auto"/>
        <w:rPr>
          <w:rFonts w:hint="default" w:ascii="宋体" w:hAnsi="宋体" w:eastAsia="宋体" w:cs="宋体"/>
          <w:b/>
          <w:bCs/>
          <w:color w:val="auto"/>
          <w:kern w:val="2"/>
          <w:sz w:val="21"/>
          <w:szCs w:val="21"/>
          <w:lang w:val="en-US" w:eastAsia="zh-Hans"/>
        </w:rPr>
      </w:pP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lang w:val="en-US" w:eastAsia="zh-Hans"/>
        </w:rPr>
        <w:t>二</w:t>
      </w: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lang w:val="en-US" w:eastAsia="zh-Hans"/>
        </w:rPr>
        <w:t>科学研究情况</w:t>
      </w:r>
    </w:p>
    <w:p>
      <w:pPr>
        <w:pStyle w:val="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ind w:leftChars="0" w:firstLine="420" w:firstLineChars="200"/>
        <w:textAlignment w:val="auto"/>
        <w:rPr>
          <w:rFonts w:hint="default" w:ascii="宋体" w:hAnsi="宋体" w:eastAsia="宋体" w:cs="宋体"/>
          <w:b w:val="0"/>
          <w:bCs w:val="0"/>
          <w:sz w:val="21"/>
          <w:szCs w:val="21"/>
        </w:rPr>
      </w:pPr>
      <w:r>
        <w:rPr>
          <w:rFonts w:hint="default" w:ascii="宋体" w:hAnsi="宋体" w:eastAsia="宋体" w:cs="宋体"/>
          <w:b w:val="0"/>
          <w:bCs w:val="0"/>
          <w:sz w:val="21"/>
          <w:szCs w:val="21"/>
        </w:rPr>
        <w:t>北京师范大学艺术与传媒学院 “传媒与艺术实验中心” 国家级重点教学实验示范中心在2021年投入</w:t>
      </w:r>
      <w:r>
        <w:rPr>
          <w:rFonts w:hint="eastAsia" w:ascii="宋体" w:hAnsi="宋体" w:eastAsia="宋体" w:cs="宋体"/>
          <w:b w:val="0"/>
          <w:bCs w:val="0"/>
          <w:sz w:val="21"/>
          <w:szCs w:val="21"/>
          <w:lang w:val="en-US" w:eastAsia="zh-Hans"/>
        </w:rPr>
        <w:t>了</w:t>
      </w:r>
      <w:r>
        <w:rPr>
          <w:rFonts w:hint="default" w:ascii="宋体" w:hAnsi="宋体" w:eastAsia="宋体" w:cs="宋体"/>
          <w:b w:val="0"/>
          <w:bCs w:val="0"/>
          <w:sz w:val="21"/>
          <w:szCs w:val="21"/>
        </w:rPr>
        <w:t>用于艺术类虚拟仿真项目</w:t>
      </w:r>
      <w:r>
        <w:rPr>
          <w:rFonts w:hint="eastAsia" w:ascii="宋体" w:hAnsi="宋体" w:eastAsia="宋体" w:cs="宋体"/>
          <w:b w:val="0"/>
          <w:bCs w:val="0"/>
          <w:sz w:val="21"/>
          <w:szCs w:val="21"/>
          <w:lang w:val="en-US" w:eastAsia="zh-Hans"/>
        </w:rPr>
        <w:t>的</w:t>
      </w:r>
      <w:r>
        <w:rPr>
          <w:rFonts w:hint="default" w:ascii="宋体" w:hAnsi="宋体" w:eastAsia="宋体" w:cs="宋体"/>
          <w:b w:val="0"/>
          <w:bCs w:val="0"/>
          <w:sz w:val="21"/>
          <w:szCs w:val="21"/>
        </w:rPr>
        <w:t>建设与开发。依托国家双一流A+学科“戏剧与影视学”发展平台优势，突破传统赏析课程“填鸭式”教学壁垒，整合艺术多学科实践教学与实验资源，开拓新文科影视赏析互动模式，</w:t>
      </w:r>
      <w:r>
        <w:rPr>
          <w:rFonts w:hint="eastAsia" w:ascii="宋体" w:hAnsi="宋体" w:eastAsia="宋体" w:cs="宋体"/>
          <w:b w:val="0"/>
          <w:bCs w:val="0"/>
          <w:sz w:val="21"/>
          <w:szCs w:val="21"/>
          <w:lang w:val="en-US" w:eastAsia="zh-Hans"/>
        </w:rPr>
        <w:t>研发了</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CN"/>
        </w:rPr>
        <w:t>特殊场景</w:t>
      </w:r>
      <w:r>
        <w:rPr>
          <w:rFonts w:hint="default" w:ascii="宋体" w:hAnsi="宋体" w:eastAsia="宋体" w:cs="宋体"/>
          <w:b w:val="0"/>
          <w:bCs w:val="0"/>
          <w:sz w:val="21"/>
          <w:szCs w:val="21"/>
        </w:rPr>
        <w:t>虚拟仿真</w:t>
      </w:r>
      <w:r>
        <w:rPr>
          <w:rFonts w:hint="eastAsia" w:ascii="宋体" w:hAnsi="宋体" w:eastAsia="宋体" w:cs="宋体"/>
          <w:b w:val="0"/>
          <w:bCs w:val="0"/>
          <w:sz w:val="21"/>
          <w:szCs w:val="21"/>
          <w:lang w:val="en-US" w:eastAsia="zh-CN"/>
        </w:rPr>
        <w:t>拍摄</w:t>
      </w:r>
      <w:r>
        <w:rPr>
          <w:rFonts w:hint="default" w:ascii="宋体" w:hAnsi="宋体" w:eastAsia="宋体" w:cs="宋体"/>
          <w:b w:val="0"/>
          <w:bCs w:val="0"/>
          <w:sz w:val="21"/>
          <w:szCs w:val="21"/>
        </w:rPr>
        <w:t>实验</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课程</w:t>
      </w:r>
      <w:r>
        <w:rPr>
          <w:rFonts w:hint="default" w:ascii="宋体" w:hAnsi="宋体" w:eastAsia="宋体" w:cs="宋体"/>
          <w:b w:val="0"/>
          <w:bCs w:val="0"/>
          <w:sz w:val="21"/>
          <w:szCs w:val="21"/>
          <w:lang w:eastAsia="zh-Hans"/>
        </w:rPr>
        <w:t>，</w:t>
      </w:r>
      <w:r>
        <w:rPr>
          <w:rFonts w:hint="default" w:ascii="宋体" w:hAnsi="宋体" w:eastAsia="宋体" w:cs="宋体"/>
          <w:b w:val="0"/>
          <w:bCs w:val="0"/>
          <w:sz w:val="21"/>
          <w:szCs w:val="21"/>
        </w:rPr>
        <w:t>利用虚拟仿真技术打造学生沉浸式学习体验，助力精品课程教学改革。</w:t>
      </w:r>
      <w:r>
        <w:rPr>
          <w:rFonts w:hint="eastAsia" w:ascii="宋体" w:hAnsi="宋体" w:eastAsia="宋体" w:cs="宋体"/>
          <w:b w:val="0"/>
          <w:bCs w:val="0"/>
          <w:sz w:val="21"/>
          <w:szCs w:val="21"/>
          <w:lang w:val="en-US" w:eastAsia="zh-Hans"/>
        </w:rPr>
        <w:t>除此以外</w:t>
      </w:r>
      <w:r>
        <w:rPr>
          <w:rFonts w:hint="default" w:ascii="宋体" w:hAnsi="宋体" w:eastAsia="宋体" w:cs="宋体"/>
          <w:b w:val="0"/>
          <w:bCs w:val="0"/>
          <w:sz w:val="21"/>
          <w:szCs w:val="21"/>
          <w:lang w:eastAsia="zh-Hans"/>
        </w:rPr>
        <w:t>，</w:t>
      </w:r>
      <w:r>
        <w:rPr>
          <w:rFonts w:hint="default" w:ascii="宋体" w:hAnsi="宋体" w:eastAsia="宋体" w:cs="宋体"/>
          <w:b w:val="0"/>
          <w:bCs w:val="0"/>
          <w:sz w:val="21"/>
          <w:szCs w:val="21"/>
        </w:rPr>
        <w:t>艺术赏析类虚拟仿真教学实验，自开展实验教学以来已收集</w:t>
      </w:r>
      <w:r>
        <w:rPr>
          <w:rFonts w:hint="eastAsia" w:ascii="宋体" w:hAnsi="宋体" w:eastAsia="宋体" w:cs="宋体"/>
          <w:b w:val="0"/>
          <w:bCs w:val="0"/>
          <w:sz w:val="21"/>
          <w:szCs w:val="21"/>
          <w:lang w:val="en-US" w:eastAsia="zh-Hans"/>
        </w:rPr>
        <w:t>上千学员的</w:t>
      </w:r>
      <w:r>
        <w:rPr>
          <w:rFonts w:hint="default" w:ascii="宋体" w:hAnsi="宋体" w:eastAsia="宋体" w:cs="宋体"/>
          <w:b w:val="0"/>
          <w:bCs w:val="0"/>
          <w:sz w:val="21"/>
          <w:szCs w:val="21"/>
        </w:rPr>
        <w:t>教学数据、获得4项软件著作权，并在北京、珠海、学院路共同体开设，所支持的课程多达15门，其中包括3门国家级一流本科课程；MOOC线上线下相结合的教学改革，本中心策划并制作了6门课程，均在中国大学MOOC上线，其中2门获得国家级一流课程；</w:t>
      </w:r>
      <w:r>
        <w:rPr>
          <w:rFonts w:hint="eastAsia" w:ascii="宋体" w:hAnsi="宋体" w:eastAsia="宋体" w:cs="宋体"/>
          <w:b w:val="0"/>
          <w:bCs w:val="0"/>
          <w:sz w:val="21"/>
          <w:szCs w:val="21"/>
          <w:lang w:val="en-US" w:eastAsia="zh-Hans"/>
        </w:rPr>
        <w:t>同年</w:t>
      </w:r>
      <w:r>
        <w:rPr>
          <w:rFonts w:hint="default" w:ascii="宋体" w:hAnsi="宋体" w:eastAsia="宋体" w:cs="宋体"/>
          <w:b w:val="0"/>
          <w:bCs w:val="0"/>
          <w:sz w:val="21"/>
          <w:szCs w:val="21"/>
          <w:lang w:eastAsia="zh-Hans"/>
        </w:rPr>
        <w:t>11</w:t>
      </w:r>
      <w:r>
        <w:rPr>
          <w:rFonts w:hint="eastAsia" w:ascii="宋体" w:hAnsi="宋体" w:eastAsia="宋体" w:cs="宋体"/>
          <w:b w:val="0"/>
          <w:bCs w:val="0"/>
          <w:sz w:val="21"/>
          <w:szCs w:val="21"/>
          <w:lang w:val="en-US" w:eastAsia="zh-Hans"/>
        </w:rPr>
        <w:t>月</w:t>
      </w:r>
      <w:r>
        <w:rPr>
          <w:rFonts w:hint="default" w:ascii="宋体" w:hAnsi="宋体" w:eastAsia="宋体" w:cs="宋体"/>
          <w:b w:val="0"/>
          <w:bCs w:val="0"/>
          <w:sz w:val="21"/>
          <w:szCs w:val="21"/>
          <w:lang w:eastAsia="zh-Hans"/>
        </w:rPr>
        <w:t>，</w:t>
      </w:r>
      <w:r>
        <w:rPr>
          <w:rFonts w:hint="default" w:ascii="宋体" w:hAnsi="宋体" w:eastAsia="宋体" w:cs="宋体"/>
          <w:b w:val="0"/>
          <w:bCs w:val="0"/>
          <w:sz w:val="21"/>
          <w:szCs w:val="21"/>
        </w:rPr>
        <w:t xml:space="preserve">北京师范大学传媒与艺术国家级实验教学示范中心举办传媒与艺术国家级实验教学示范中心教学指导委员会（北京师范大学）指导会，及“艺术·科技：新文科背景下的实验教学与人才培养研讨会”，为全面推进新文科背景下实验教学新模式，探索人才培养新路径，开拓艺术与科技融合新领域。 </w:t>
      </w:r>
    </w:p>
    <w:p>
      <w:pPr>
        <w:keepNext w:val="0"/>
        <w:keepLines w:val="0"/>
        <w:pageBreakBefore w:val="0"/>
        <w:kinsoku/>
        <w:wordWrap/>
        <w:overflowPunct/>
        <w:topLinePunct w:val="0"/>
        <w:bidi w:val="0"/>
        <w:snapToGrid/>
        <w:spacing w:line="360" w:lineRule="auto"/>
        <w:jc w:val="center"/>
        <w:textAlignment w:val="auto"/>
        <w:rPr>
          <w:rFonts w:hint="default"/>
        </w:rPr>
      </w:pPr>
      <w:r>
        <w:rPr>
          <w:rFonts w:ascii="仿宋_GB2312" w:hAnsi="方正粗黑宋简体" w:eastAsia="仿宋_GB2312" w:cstheme="minorBidi"/>
          <w:b w:val="0"/>
          <w:bCs w:val="0"/>
          <w:kern w:val="2"/>
          <w:sz w:val="28"/>
          <w:szCs w:val="28"/>
        </w:rPr>
        <w:drawing>
          <wp:inline distT="0" distB="0" distL="0" distR="0">
            <wp:extent cx="3959225" cy="273431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00856" cy="2763484"/>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line="360" w:lineRule="auto"/>
        <w:jc w:val="center"/>
        <w:textAlignment w:val="auto"/>
        <w:rPr>
          <w:rFonts w:hint="eastAsia" w:eastAsia="仿宋_GB2312"/>
          <w:lang w:eastAsia="zh-CN"/>
        </w:rPr>
      </w:pPr>
      <w:r>
        <w:rPr>
          <w:rFonts w:hint="eastAsia" w:ascii="宋体" w:hAnsi="宋体" w:eastAsia="宋体" w:cs="宋体"/>
          <w:b w:val="0"/>
          <w:bCs w:val="0"/>
          <w:kern w:val="36"/>
          <w:sz w:val="21"/>
          <w:szCs w:val="21"/>
          <w:lang w:val="en-US" w:eastAsia="zh-CN" w:bidi="ar-SA"/>
        </w:rPr>
        <w:t>艺术·科技：新文科背景下的实验教学与人才培养研讨会（实验中心教指委主办）</w:t>
      </w:r>
    </w:p>
    <w:p>
      <w:pPr>
        <w:keepNext w:val="0"/>
        <w:keepLines w:val="0"/>
        <w:pageBreakBefore w:val="0"/>
        <w:numPr>
          <w:ilvl w:val="0"/>
          <w:numId w:val="3"/>
        </w:numPr>
        <w:kinsoku/>
        <w:wordWrap/>
        <w:overflowPunct/>
        <w:topLinePunct w:val="0"/>
        <w:bidi w:val="0"/>
        <w:snapToGrid/>
        <w:spacing w:line="360" w:lineRule="auto"/>
        <w:ind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信息化建设、开放运行和示范辐射</w:t>
      </w:r>
    </w:p>
    <w:p>
      <w:pPr>
        <w:pStyle w:val="29"/>
        <w:keepNext w:val="0"/>
        <w:keepLines w:val="0"/>
        <w:pageBreakBefore w:val="0"/>
        <w:kinsoku/>
        <w:wordWrap/>
        <w:overflowPunct/>
        <w:topLinePunct w:val="0"/>
        <w:bidi w:val="0"/>
        <w:snapToGrid/>
        <w:spacing w:line="360" w:lineRule="auto"/>
        <w:ind w:firstLine="422" w:firstLineChars="200"/>
        <w:jc w:val="both"/>
        <w:textAlignment w:val="auto"/>
        <w:rPr>
          <w:rFonts w:hint="default" w:ascii="宋体" w:hAnsi="宋体" w:eastAsia="宋体" w:cs="宋体"/>
          <w:b/>
          <w:bCs/>
          <w:color w:val="auto"/>
          <w:kern w:val="2"/>
          <w:sz w:val="21"/>
          <w:szCs w:val="21"/>
          <w:lang w:eastAsia="zh-Hans"/>
        </w:rPr>
      </w:pP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lang w:val="en-US" w:eastAsia="zh-Hans"/>
        </w:rPr>
        <w:t>一</w:t>
      </w: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lang w:val="en-US" w:eastAsia="zh-Hans"/>
        </w:rPr>
        <w:t>持续完善实验教学中心的信息化建设渠道</w:t>
      </w: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lang w:val="en-US" w:eastAsia="zh-Hans"/>
        </w:rPr>
        <w:t>更新管理机制</w:t>
      </w: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lang w:val="en-US" w:eastAsia="zh-Hans"/>
        </w:rPr>
        <w:t>树立学院形象</w:t>
      </w:r>
      <w:r>
        <w:rPr>
          <w:rFonts w:hint="default" w:ascii="宋体" w:hAnsi="宋体" w:eastAsia="宋体" w:cs="宋体"/>
          <w:b/>
          <w:bCs/>
          <w:color w:val="auto"/>
          <w:kern w:val="2"/>
          <w:sz w:val="21"/>
          <w:szCs w:val="21"/>
          <w:lang w:eastAsia="zh-Hans"/>
        </w:rPr>
        <w:t>。</w:t>
      </w:r>
    </w:p>
    <w:p>
      <w:pPr>
        <w:pStyle w:val="29"/>
        <w:keepNext w:val="0"/>
        <w:keepLines w:val="0"/>
        <w:pageBreakBefore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auto"/>
          <w:kern w:val="2"/>
          <w:sz w:val="21"/>
          <w:szCs w:val="21"/>
        </w:rPr>
        <w:t>中心</w:t>
      </w:r>
      <w:r>
        <w:rPr>
          <w:rFonts w:hint="eastAsia" w:ascii="宋体" w:hAnsi="宋体" w:eastAsia="宋体" w:cs="宋体"/>
          <w:color w:val="auto"/>
          <w:kern w:val="2"/>
          <w:sz w:val="21"/>
          <w:szCs w:val="21"/>
          <w:lang w:val="en-US" w:eastAsia="zh-Hans"/>
        </w:rPr>
        <w:t>持续为已经建立的</w:t>
      </w:r>
      <w:r>
        <w:rPr>
          <w:rFonts w:hint="eastAsia" w:ascii="宋体" w:hAnsi="宋体" w:eastAsia="宋体" w:cs="宋体"/>
          <w:color w:val="auto"/>
          <w:kern w:val="2"/>
          <w:sz w:val="21"/>
          <w:szCs w:val="21"/>
        </w:rPr>
        <w:t>北京师范大学</w:t>
      </w:r>
      <w:r>
        <w:rPr>
          <w:rFonts w:hint="eastAsia" w:ascii="宋体" w:hAnsi="宋体" w:eastAsia="宋体" w:cs="宋体"/>
          <w:color w:val="auto"/>
          <w:kern w:val="2"/>
          <w:sz w:val="21"/>
          <w:szCs w:val="21"/>
          <w:lang w:val="en-US" w:eastAsia="zh-Hans"/>
        </w:rPr>
        <w:t>艺术与传媒学院官方</w:t>
      </w:r>
      <w:r>
        <w:rPr>
          <w:rFonts w:hint="eastAsia" w:ascii="宋体" w:hAnsi="宋体" w:eastAsia="宋体" w:cs="宋体"/>
          <w:color w:val="auto"/>
          <w:kern w:val="2"/>
          <w:sz w:val="21"/>
          <w:szCs w:val="21"/>
        </w:rPr>
        <w:t>网站</w:t>
      </w:r>
      <w:r>
        <w:rPr>
          <w:rFonts w:hint="default" w:ascii="宋体" w:hAnsi="宋体" w:eastAsia="宋体" w:cs="宋体"/>
          <w:color w:val="auto"/>
          <w:kern w:val="2"/>
          <w:sz w:val="21"/>
          <w:szCs w:val="21"/>
        </w:rPr>
        <w:t>、</w:t>
      </w:r>
      <w:r>
        <w:rPr>
          <w:rFonts w:hint="eastAsia" w:ascii="宋体" w:hAnsi="宋体" w:eastAsia="宋体" w:cs="宋体"/>
          <w:color w:val="auto"/>
          <w:kern w:val="2"/>
          <w:sz w:val="21"/>
          <w:szCs w:val="21"/>
          <w:lang w:val="en-US" w:eastAsia="zh-Hans"/>
        </w:rPr>
        <w:t>以及</w:t>
      </w:r>
      <w:r>
        <w:rPr>
          <w:rFonts w:hint="eastAsia" w:ascii="宋体" w:hAnsi="宋体" w:eastAsia="宋体" w:cs="宋体"/>
          <w:color w:val="auto"/>
          <w:kern w:val="2"/>
          <w:sz w:val="21"/>
          <w:szCs w:val="21"/>
        </w:rPr>
        <w:t>实验室、楼外墙体宣传栏、艺创园</w:t>
      </w:r>
      <w:r>
        <w:rPr>
          <w:rFonts w:hint="default" w:ascii="宋体" w:hAnsi="宋体" w:eastAsia="宋体" w:cs="宋体"/>
          <w:color w:val="auto"/>
          <w:kern w:val="2"/>
          <w:sz w:val="21"/>
          <w:szCs w:val="21"/>
        </w:rPr>
        <w:t>、7</w:t>
      </w:r>
      <w:r>
        <w:rPr>
          <w:rFonts w:hint="eastAsia" w:ascii="宋体" w:hAnsi="宋体" w:eastAsia="宋体" w:cs="宋体"/>
          <w:color w:val="auto"/>
          <w:kern w:val="2"/>
          <w:sz w:val="21"/>
          <w:szCs w:val="21"/>
          <w:lang w:val="en-US" w:eastAsia="zh-Hans"/>
        </w:rPr>
        <w:t>楼琴房</w:t>
      </w:r>
      <w:r>
        <w:rPr>
          <w:rFonts w:hint="eastAsia" w:ascii="宋体" w:hAnsi="宋体" w:eastAsia="宋体" w:cs="宋体"/>
          <w:color w:val="auto"/>
          <w:kern w:val="2"/>
          <w:sz w:val="21"/>
          <w:szCs w:val="21"/>
        </w:rPr>
        <w:t>等多个预约管理系统</w:t>
      </w:r>
      <w:r>
        <w:rPr>
          <w:rFonts w:hint="eastAsia" w:ascii="宋体" w:hAnsi="宋体" w:eastAsia="宋体" w:cs="宋体"/>
          <w:color w:val="auto"/>
          <w:kern w:val="2"/>
          <w:sz w:val="21"/>
          <w:szCs w:val="21"/>
          <w:lang w:val="en-US" w:eastAsia="zh-Hans"/>
        </w:rPr>
        <w:t>进行内容与信息化的更新</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lang w:val="en-US" w:eastAsia="zh-Hans"/>
        </w:rPr>
        <w:t>统一信息出口</w:t>
      </w:r>
      <w:r>
        <w:rPr>
          <w:rFonts w:hint="default" w:ascii="宋体" w:hAnsi="宋体" w:eastAsia="宋体" w:cs="宋体"/>
          <w:color w:val="auto"/>
          <w:kern w:val="2"/>
          <w:sz w:val="21"/>
          <w:szCs w:val="21"/>
          <w:lang w:eastAsia="zh-Hans"/>
        </w:rPr>
        <w:t>，</w:t>
      </w:r>
      <w:r>
        <w:rPr>
          <w:rFonts w:hint="eastAsia" w:ascii="宋体" w:hAnsi="宋体" w:eastAsia="宋体" w:cs="宋体"/>
          <w:color w:val="auto"/>
          <w:kern w:val="2"/>
          <w:sz w:val="21"/>
          <w:szCs w:val="21"/>
        </w:rPr>
        <w:t>促进</w:t>
      </w:r>
      <w:r>
        <w:rPr>
          <w:rFonts w:hint="eastAsia" w:ascii="宋体" w:hAnsi="宋体" w:eastAsia="宋体" w:cs="宋体"/>
          <w:color w:val="auto"/>
          <w:kern w:val="2"/>
          <w:sz w:val="21"/>
          <w:szCs w:val="21"/>
          <w:lang w:val="en-US" w:eastAsia="zh-Hans"/>
        </w:rPr>
        <w:t>学院师生</w:t>
      </w:r>
      <w:r>
        <w:rPr>
          <w:rFonts w:hint="eastAsia" w:ascii="宋体" w:hAnsi="宋体" w:eastAsia="宋体" w:cs="宋体"/>
          <w:color w:val="auto"/>
          <w:kern w:val="2"/>
          <w:sz w:val="21"/>
          <w:szCs w:val="21"/>
        </w:rPr>
        <w:t>互动式教学</w:t>
      </w:r>
      <w:r>
        <w:rPr>
          <w:rFonts w:hint="eastAsia" w:ascii="宋体" w:hAnsi="宋体" w:eastAsia="宋体" w:cs="宋体"/>
          <w:color w:val="auto"/>
          <w:kern w:val="2"/>
          <w:sz w:val="21"/>
          <w:szCs w:val="21"/>
          <w:lang w:val="en-US" w:eastAsia="zh-Hans"/>
        </w:rPr>
        <w:t>和自主学习的习惯养成</w:t>
      </w:r>
      <w:r>
        <w:rPr>
          <w:rFonts w:hint="eastAsia" w:ascii="宋体" w:hAnsi="宋体" w:eastAsia="宋体" w:cs="宋体"/>
          <w:color w:val="auto"/>
          <w:kern w:val="2"/>
          <w:sz w:val="21"/>
          <w:szCs w:val="21"/>
        </w:rPr>
        <w:t>。</w:t>
      </w:r>
      <w:r>
        <w:rPr>
          <w:rFonts w:hint="default" w:ascii="宋体" w:hAnsi="宋体" w:eastAsia="宋体" w:cs="宋体"/>
          <w:color w:val="auto"/>
          <w:kern w:val="2"/>
          <w:sz w:val="21"/>
          <w:szCs w:val="21"/>
        </w:rPr>
        <w:t>2021</w:t>
      </w:r>
      <w:r>
        <w:rPr>
          <w:rFonts w:hint="eastAsia" w:ascii="宋体" w:hAnsi="宋体" w:eastAsia="宋体" w:cs="宋体"/>
          <w:color w:val="auto"/>
          <w:kern w:val="2"/>
          <w:sz w:val="21"/>
          <w:szCs w:val="21"/>
          <w:lang w:val="en-US" w:eastAsia="zh-Hans"/>
        </w:rPr>
        <w:t>年</w:t>
      </w:r>
      <w:r>
        <w:rPr>
          <w:rFonts w:hint="default" w:ascii="宋体" w:hAnsi="宋体" w:eastAsia="宋体" w:cs="宋体"/>
          <w:color w:val="auto"/>
          <w:kern w:val="2"/>
          <w:sz w:val="21"/>
          <w:szCs w:val="21"/>
          <w:lang w:eastAsia="zh-Hans"/>
        </w:rPr>
        <w:t>11</w:t>
      </w:r>
      <w:r>
        <w:rPr>
          <w:rFonts w:hint="eastAsia" w:ascii="宋体" w:hAnsi="宋体" w:eastAsia="宋体" w:cs="宋体"/>
          <w:color w:val="auto"/>
          <w:kern w:val="2"/>
          <w:sz w:val="21"/>
          <w:szCs w:val="21"/>
          <w:lang w:val="en-US" w:eastAsia="zh-Hans"/>
        </w:rPr>
        <w:t>月</w:t>
      </w:r>
      <w:r>
        <w:rPr>
          <w:rFonts w:hint="default" w:ascii="宋体" w:hAnsi="宋体" w:eastAsia="宋体" w:cs="宋体"/>
          <w:color w:val="auto"/>
          <w:kern w:val="2"/>
          <w:sz w:val="21"/>
          <w:szCs w:val="21"/>
          <w:lang w:eastAsia="zh-Hans"/>
        </w:rPr>
        <w:t>5</w:t>
      </w:r>
      <w:r>
        <w:rPr>
          <w:rFonts w:hint="eastAsia" w:ascii="宋体" w:hAnsi="宋体" w:eastAsia="宋体" w:cs="宋体"/>
          <w:color w:val="auto"/>
          <w:kern w:val="2"/>
          <w:sz w:val="21"/>
          <w:szCs w:val="21"/>
          <w:lang w:val="en-US" w:eastAsia="zh-Hans"/>
        </w:rPr>
        <w:t>日开始</w:t>
      </w:r>
      <w:r>
        <w:rPr>
          <w:rFonts w:hint="default" w:ascii="宋体" w:hAnsi="宋体" w:eastAsia="宋体" w:cs="宋体"/>
          <w:color w:val="auto"/>
          <w:kern w:val="2"/>
          <w:sz w:val="21"/>
          <w:szCs w:val="21"/>
          <w:lang w:eastAsia="zh-Hans"/>
        </w:rPr>
        <w:t>，根据学校网络中心的规划，响应学校网站统一化管理的号召，学院配合信息网络中心将学院网站迁移至学校的站群统一进行管理。</w:t>
      </w:r>
      <w:r>
        <w:rPr>
          <w:rFonts w:hint="eastAsia" w:ascii="宋体" w:hAnsi="宋体" w:eastAsia="宋体" w:cs="宋体"/>
          <w:sz w:val="21"/>
          <w:szCs w:val="21"/>
          <w:lang w:val="en-US" w:eastAsia="zh-Hans"/>
        </w:rPr>
        <w:t>在</w:t>
      </w:r>
      <w:r>
        <w:rPr>
          <w:rFonts w:hint="eastAsia" w:ascii="宋体" w:hAnsi="宋体" w:eastAsia="宋体" w:cs="宋体"/>
          <w:sz w:val="21"/>
          <w:szCs w:val="21"/>
        </w:rPr>
        <w:t>现代化社交媒体手段</w:t>
      </w:r>
      <w:r>
        <w:rPr>
          <w:rFonts w:hint="eastAsia" w:ascii="宋体" w:hAnsi="宋体" w:eastAsia="宋体" w:cs="宋体"/>
          <w:sz w:val="21"/>
          <w:szCs w:val="21"/>
          <w:lang w:val="en-US" w:eastAsia="zh-Hans"/>
        </w:rPr>
        <w:t>中</w:t>
      </w:r>
      <w:r>
        <w:rPr>
          <w:rFonts w:hint="eastAsia" w:ascii="宋体" w:hAnsi="宋体" w:eastAsia="宋体" w:cs="宋体"/>
          <w:sz w:val="21"/>
          <w:szCs w:val="21"/>
        </w:rPr>
        <w:t>，</w:t>
      </w:r>
      <w:r>
        <w:rPr>
          <w:rFonts w:hint="eastAsia" w:ascii="宋体" w:hAnsi="宋体" w:eastAsia="宋体" w:cs="宋体"/>
          <w:sz w:val="21"/>
          <w:szCs w:val="21"/>
          <w:lang w:val="en-US" w:eastAsia="zh-Hans"/>
        </w:rPr>
        <w:t>通过维护微信公众号</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微博</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博客等平台</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如“北师艺家人”</w:t>
      </w:r>
      <w:r>
        <w:rPr>
          <w:rFonts w:hint="default" w:ascii="宋体" w:hAnsi="宋体" w:eastAsia="宋体" w:cs="宋体"/>
          <w:sz w:val="21"/>
          <w:szCs w:val="21"/>
          <w:lang w:eastAsia="zh-Hans"/>
        </w:rPr>
        <w:t>、</w:t>
      </w:r>
      <w:r>
        <w:rPr>
          <w:rFonts w:hint="eastAsia" w:ascii="宋体" w:hAnsi="宋体" w:eastAsia="宋体" w:cs="宋体"/>
          <w:sz w:val="21"/>
          <w:szCs w:val="21"/>
        </w:rPr>
        <w:t>“京师美术馆”</w:t>
      </w:r>
      <w:r>
        <w:rPr>
          <w:rFonts w:hint="default" w:ascii="宋体" w:hAnsi="宋体" w:eastAsia="宋体" w:cs="宋体"/>
          <w:sz w:val="21"/>
          <w:szCs w:val="21"/>
        </w:rPr>
        <w:t>、</w:t>
      </w:r>
      <w:r>
        <w:rPr>
          <w:rFonts w:hint="eastAsia" w:ascii="宋体" w:hAnsi="宋体" w:eastAsia="宋体" w:cs="宋体"/>
          <w:sz w:val="21"/>
          <w:szCs w:val="21"/>
        </w:rPr>
        <w:t>“北京大学生电影节”等，搭建公共</w:t>
      </w:r>
      <w:r>
        <w:rPr>
          <w:rFonts w:hint="eastAsia" w:ascii="宋体" w:hAnsi="宋体" w:eastAsia="宋体" w:cs="宋体"/>
          <w:sz w:val="21"/>
          <w:szCs w:val="21"/>
          <w:lang w:val="en-US" w:eastAsia="zh-Hans"/>
        </w:rPr>
        <w:t>资源</w:t>
      </w:r>
      <w:r>
        <w:rPr>
          <w:rFonts w:hint="eastAsia" w:ascii="宋体" w:hAnsi="宋体" w:eastAsia="宋体" w:cs="宋体"/>
          <w:sz w:val="21"/>
          <w:szCs w:val="21"/>
        </w:rPr>
        <w:t>分享和讨论</w:t>
      </w:r>
      <w:r>
        <w:rPr>
          <w:rFonts w:hint="eastAsia" w:ascii="宋体" w:hAnsi="宋体" w:eastAsia="宋体" w:cs="宋体"/>
          <w:sz w:val="21"/>
          <w:szCs w:val="21"/>
          <w:lang w:val="en-US" w:eastAsia="zh-Hans"/>
        </w:rPr>
        <w:t>的</w:t>
      </w:r>
      <w:r>
        <w:rPr>
          <w:rFonts w:hint="eastAsia" w:ascii="宋体" w:hAnsi="宋体" w:eastAsia="宋体" w:cs="宋体"/>
          <w:sz w:val="21"/>
          <w:szCs w:val="21"/>
        </w:rPr>
        <w:t>平台，有利于学生的交流和共同学习讨论，同时有效扩大中心实验教学成果的辐射人群和辐射范围</w:t>
      </w:r>
      <w:r>
        <w:rPr>
          <w:rFonts w:hint="default" w:ascii="宋体" w:hAnsi="宋体" w:eastAsia="宋体" w:cs="宋体"/>
          <w:sz w:val="21"/>
          <w:szCs w:val="21"/>
        </w:rPr>
        <w:t>，</w:t>
      </w:r>
      <w:r>
        <w:rPr>
          <w:rFonts w:hint="eastAsia" w:ascii="宋体" w:hAnsi="宋体" w:eastAsia="宋体" w:cs="宋体"/>
          <w:sz w:val="21"/>
          <w:szCs w:val="21"/>
          <w:lang w:val="en-US" w:eastAsia="zh-Hans"/>
        </w:rPr>
        <w:t>为学院树立新媒体形象</w:t>
      </w:r>
      <w:r>
        <w:rPr>
          <w:rFonts w:hint="eastAsia" w:ascii="宋体" w:hAnsi="宋体" w:eastAsia="宋体" w:cs="宋体"/>
          <w:sz w:val="21"/>
          <w:szCs w:val="21"/>
        </w:rPr>
        <w:t>。</w:t>
      </w:r>
    </w:p>
    <w:p>
      <w:pPr>
        <w:pStyle w:val="29"/>
        <w:keepNext w:val="0"/>
        <w:keepLines w:val="0"/>
        <w:pageBreakBefore w:val="0"/>
        <w:kinsoku/>
        <w:wordWrap/>
        <w:overflowPunct/>
        <w:topLinePunct w:val="0"/>
        <w:bidi w:val="0"/>
        <w:snapToGrid/>
        <w:spacing w:line="360" w:lineRule="auto"/>
        <w:ind w:firstLine="422" w:firstLineChars="200"/>
        <w:jc w:val="both"/>
        <w:textAlignment w:val="auto"/>
        <w:rPr>
          <w:rFonts w:hint="eastAsia" w:ascii="宋体" w:hAnsi="宋体" w:eastAsia="宋体" w:cs="宋体"/>
          <w:b/>
          <w:bCs/>
          <w:color w:val="auto"/>
          <w:kern w:val="2"/>
          <w:sz w:val="21"/>
          <w:szCs w:val="21"/>
        </w:rPr>
      </w:pP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rPr>
        <w:t>二</w:t>
      </w: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rPr>
        <w:t>注重</w:t>
      </w:r>
      <w:r>
        <w:rPr>
          <w:rFonts w:hint="eastAsia" w:ascii="宋体" w:hAnsi="宋体" w:eastAsia="宋体" w:cs="宋体"/>
          <w:b/>
          <w:bCs/>
          <w:color w:val="auto"/>
          <w:kern w:val="2"/>
          <w:sz w:val="21"/>
          <w:szCs w:val="21"/>
          <w:lang w:val="en-US" w:eastAsia="zh-Hans"/>
        </w:rPr>
        <w:t>中心</w:t>
      </w:r>
      <w:r>
        <w:rPr>
          <w:rFonts w:hint="default" w:ascii="宋体" w:hAnsi="宋体" w:eastAsia="宋体" w:cs="宋体"/>
          <w:b/>
          <w:bCs/>
          <w:color w:val="auto"/>
          <w:kern w:val="2"/>
          <w:sz w:val="21"/>
          <w:szCs w:val="21"/>
        </w:rPr>
        <w:t>运行安全，</w:t>
      </w:r>
      <w:r>
        <w:rPr>
          <w:rFonts w:hint="eastAsia" w:ascii="宋体" w:hAnsi="宋体" w:eastAsia="宋体" w:cs="宋体"/>
          <w:b/>
          <w:bCs/>
          <w:color w:val="auto"/>
          <w:kern w:val="2"/>
          <w:sz w:val="21"/>
          <w:szCs w:val="21"/>
        </w:rPr>
        <w:t>建立完善</w:t>
      </w:r>
      <w:r>
        <w:rPr>
          <w:rFonts w:hint="eastAsia" w:ascii="宋体" w:hAnsi="宋体" w:eastAsia="宋体" w:cs="宋体"/>
          <w:b/>
          <w:bCs/>
          <w:color w:val="auto"/>
          <w:kern w:val="2"/>
          <w:sz w:val="21"/>
          <w:szCs w:val="21"/>
          <w:lang w:val="en-US" w:eastAsia="zh-Hans"/>
        </w:rPr>
        <w:t>运行</w:t>
      </w:r>
      <w:r>
        <w:rPr>
          <w:rFonts w:hint="default" w:ascii="宋体" w:hAnsi="宋体" w:eastAsia="宋体" w:cs="宋体"/>
          <w:b/>
          <w:bCs/>
          <w:color w:val="auto"/>
          <w:kern w:val="2"/>
          <w:sz w:val="21"/>
          <w:szCs w:val="21"/>
        </w:rPr>
        <w:t>机制。</w:t>
      </w:r>
    </w:p>
    <w:p>
      <w:pPr>
        <w:keepNext w:val="0"/>
        <w:keepLines w:val="0"/>
        <w:pageBreakBefore w:val="0"/>
        <w:kinsoku/>
        <w:wordWrap/>
        <w:overflowPunct/>
        <w:topLinePunct w:val="0"/>
        <w:bidi w:val="0"/>
        <w:snapToGrid/>
        <w:spacing w:line="360" w:lineRule="auto"/>
        <w:ind w:firstLine="525" w:firstLineChars="250"/>
        <w:textAlignment w:val="auto"/>
        <w:rPr>
          <w:rFonts w:ascii="宋体" w:hAnsi="宋体" w:eastAsia="宋体" w:cs="Calibri"/>
          <w:sz w:val="21"/>
          <w:szCs w:val="21"/>
        </w:rPr>
      </w:pPr>
      <w:r>
        <w:rPr>
          <w:rFonts w:hint="eastAsia" w:ascii="宋体" w:hAnsi="宋体"/>
          <w:sz w:val="21"/>
          <w:szCs w:val="21"/>
        </w:rPr>
        <w:t>本教学实验中心秉承日常管理与设备使用“安全第一”、不断进行优化改革的技术“迭代升级”理念，建立完善信息化管理体系，一直坚守“零事故”红线，为“艺科教创”实验教学理念的具体实践提供安全保障。2</w:t>
      </w:r>
      <w:r>
        <w:rPr>
          <w:rFonts w:ascii="宋体" w:hAnsi="宋体"/>
          <w:sz w:val="21"/>
          <w:szCs w:val="21"/>
        </w:rPr>
        <w:t>0</w:t>
      </w:r>
      <w:r>
        <w:rPr>
          <w:rFonts w:hint="default" w:ascii="宋体" w:hAnsi="宋体"/>
          <w:sz w:val="21"/>
          <w:szCs w:val="21"/>
        </w:rPr>
        <w:t>21</w:t>
      </w:r>
      <w:r>
        <w:rPr>
          <w:rFonts w:hint="eastAsia" w:ascii="宋体" w:hAnsi="宋体"/>
          <w:sz w:val="21"/>
          <w:szCs w:val="21"/>
        </w:rPr>
        <w:t>年间</w:t>
      </w:r>
      <w:r>
        <w:rPr>
          <w:rFonts w:ascii="宋体" w:hAnsi="宋体"/>
          <w:sz w:val="21"/>
          <w:szCs w:val="21"/>
        </w:rPr>
        <w:t>，中心严格遵守实验室日常规范运营管理条例，</w:t>
      </w:r>
      <w:r>
        <w:rPr>
          <w:rFonts w:hint="eastAsia" w:ascii="宋体" w:hAnsi="宋体"/>
          <w:sz w:val="21"/>
          <w:szCs w:val="21"/>
        </w:rPr>
        <w:t>每月定期</w:t>
      </w:r>
      <w:r>
        <w:rPr>
          <w:rFonts w:ascii="宋体" w:hAnsi="宋体"/>
          <w:sz w:val="21"/>
          <w:szCs w:val="21"/>
        </w:rPr>
        <w:t>进行安全</w:t>
      </w:r>
      <w:r>
        <w:rPr>
          <w:rFonts w:hint="eastAsia" w:ascii="宋体" w:hAnsi="宋体"/>
          <w:sz w:val="21"/>
          <w:szCs w:val="21"/>
        </w:rPr>
        <w:t>防火</w:t>
      </w:r>
      <w:r>
        <w:rPr>
          <w:rFonts w:ascii="宋体" w:hAnsi="宋体"/>
          <w:sz w:val="21"/>
          <w:szCs w:val="21"/>
        </w:rPr>
        <w:t>检查，</w:t>
      </w:r>
      <w:r>
        <w:rPr>
          <w:rFonts w:hint="eastAsia" w:ascii="宋体" w:hAnsi="宋体"/>
          <w:sz w:val="21"/>
          <w:szCs w:val="21"/>
        </w:rPr>
        <w:t>针对</w:t>
      </w:r>
      <w:r>
        <w:rPr>
          <w:rFonts w:ascii="宋体" w:hAnsi="宋体"/>
          <w:sz w:val="21"/>
          <w:szCs w:val="21"/>
        </w:rPr>
        <w:t>存在隐患问题及时排除，</w:t>
      </w:r>
      <w:r>
        <w:rPr>
          <w:rFonts w:hint="eastAsia" w:ascii="宋体" w:hAnsi="宋体"/>
          <w:sz w:val="21"/>
          <w:szCs w:val="21"/>
        </w:rPr>
        <w:t>暑假</w:t>
      </w:r>
      <w:r>
        <w:rPr>
          <w:rFonts w:ascii="宋体" w:hAnsi="宋体"/>
          <w:sz w:val="21"/>
          <w:szCs w:val="21"/>
        </w:rPr>
        <w:t>、寒假以及节假日</w:t>
      </w:r>
      <w:r>
        <w:rPr>
          <w:rFonts w:hint="eastAsia" w:ascii="宋体" w:hAnsi="宋体"/>
          <w:sz w:val="21"/>
          <w:szCs w:val="21"/>
        </w:rPr>
        <w:t>期间设立专职人员</w:t>
      </w:r>
      <w:r>
        <w:rPr>
          <w:rFonts w:ascii="宋体" w:hAnsi="宋体"/>
          <w:sz w:val="21"/>
          <w:szCs w:val="21"/>
        </w:rPr>
        <w:t>值班，在整个</w:t>
      </w:r>
      <w:r>
        <w:rPr>
          <w:rFonts w:hint="eastAsia" w:ascii="宋体" w:hAnsi="宋体"/>
          <w:sz w:val="21"/>
          <w:szCs w:val="21"/>
        </w:rPr>
        <w:t>20</w:t>
      </w:r>
      <w:r>
        <w:rPr>
          <w:rFonts w:hint="default" w:ascii="宋体" w:hAnsi="宋体"/>
          <w:sz w:val="21"/>
          <w:szCs w:val="21"/>
        </w:rPr>
        <w:t>21</w:t>
      </w:r>
      <w:r>
        <w:rPr>
          <w:rFonts w:hint="eastAsia" w:ascii="宋体" w:hAnsi="宋体"/>
          <w:sz w:val="21"/>
          <w:szCs w:val="21"/>
        </w:rPr>
        <w:t>年</w:t>
      </w:r>
      <w:r>
        <w:rPr>
          <w:rFonts w:ascii="宋体" w:hAnsi="宋体"/>
          <w:sz w:val="21"/>
          <w:szCs w:val="21"/>
        </w:rPr>
        <w:t>保证</w:t>
      </w:r>
      <w:r>
        <w:rPr>
          <w:rFonts w:hint="eastAsia" w:ascii="宋体" w:hAnsi="宋体"/>
          <w:sz w:val="21"/>
          <w:szCs w:val="21"/>
        </w:rPr>
        <w:t>艺术学院</w:t>
      </w:r>
      <w:r>
        <w:rPr>
          <w:rFonts w:ascii="宋体" w:hAnsi="宋体"/>
          <w:sz w:val="21"/>
          <w:szCs w:val="21"/>
        </w:rPr>
        <w:t>各个实验场地安全运行，无安全事故发生。</w:t>
      </w:r>
      <w:r>
        <w:rPr>
          <w:rFonts w:hint="eastAsia" w:ascii="宋体" w:hAnsi="宋体"/>
          <w:sz w:val="21"/>
          <w:szCs w:val="21"/>
        </w:rPr>
        <w:t>与此同时</w:t>
      </w:r>
      <w:r>
        <w:rPr>
          <w:rFonts w:ascii="宋体" w:hAnsi="宋体"/>
          <w:sz w:val="21"/>
          <w:szCs w:val="21"/>
        </w:rPr>
        <w:t>，</w:t>
      </w:r>
      <w:r>
        <w:rPr>
          <w:rFonts w:hint="eastAsia" w:ascii="宋体" w:hAnsi="宋体"/>
          <w:sz w:val="21"/>
          <w:szCs w:val="21"/>
        </w:rPr>
        <w:t>实验中心对</w:t>
      </w:r>
      <w:r>
        <w:rPr>
          <w:rFonts w:hint="eastAsia" w:ascii="宋体" w:hAnsi="宋体"/>
          <w:sz w:val="21"/>
          <w:szCs w:val="21"/>
          <w:lang w:val="en-US" w:eastAsia="zh-Hans"/>
        </w:rPr>
        <w:t>已安装门禁系统的教学实验场地定期进行设备检查</w:t>
      </w:r>
      <w:r>
        <w:rPr>
          <w:rFonts w:hint="default" w:ascii="宋体" w:hAnsi="宋体"/>
          <w:sz w:val="21"/>
          <w:szCs w:val="21"/>
          <w:lang w:eastAsia="zh-Hans"/>
        </w:rPr>
        <w:t>，</w:t>
      </w:r>
      <w:r>
        <w:rPr>
          <w:rFonts w:hint="eastAsia" w:ascii="宋体" w:hAnsi="宋体"/>
          <w:sz w:val="21"/>
          <w:szCs w:val="21"/>
          <w:lang w:val="en-US" w:eastAsia="zh-Hans"/>
        </w:rPr>
        <w:t>且</w:t>
      </w:r>
      <w:r>
        <w:rPr>
          <w:rFonts w:ascii="宋体" w:hAnsi="宋体" w:eastAsia="宋体" w:cs="Calibri"/>
          <w:sz w:val="21"/>
          <w:szCs w:val="21"/>
        </w:rPr>
        <w:t>运行管理监控系统，确保所有场地监控</w:t>
      </w:r>
      <w:r>
        <w:rPr>
          <w:rFonts w:hint="eastAsia" w:ascii="宋体" w:hAnsi="宋体" w:eastAsia="宋体" w:cs="Calibri"/>
          <w:sz w:val="21"/>
          <w:szCs w:val="21"/>
        </w:rPr>
        <w:t>24小时</w:t>
      </w:r>
      <w:r>
        <w:rPr>
          <w:rFonts w:ascii="宋体" w:hAnsi="宋体" w:eastAsia="宋体" w:cs="Calibri"/>
          <w:sz w:val="21"/>
          <w:szCs w:val="21"/>
        </w:rPr>
        <w:t>开通。</w:t>
      </w:r>
      <w:r>
        <w:rPr>
          <w:rFonts w:hint="eastAsia" w:ascii="宋体" w:hAnsi="宋体" w:eastAsia="宋体" w:cs="Calibri"/>
          <w:sz w:val="21"/>
          <w:szCs w:val="21"/>
        </w:rPr>
        <w:t>通过信息化管理</w:t>
      </w:r>
      <w:r>
        <w:rPr>
          <w:rFonts w:hint="eastAsia" w:ascii="宋体" w:hAnsi="宋体" w:eastAsia="宋体" w:cs="Calibri"/>
          <w:sz w:val="21"/>
          <w:szCs w:val="21"/>
          <w:lang w:val="en-US" w:eastAsia="zh-Hans"/>
        </w:rPr>
        <w:t>以及运行系统的更新</w:t>
      </w:r>
      <w:r>
        <w:rPr>
          <w:rFonts w:hint="default" w:ascii="宋体" w:hAnsi="宋体" w:eastAsia="宋体" w:cs="Calibri"/>
          <w:sz w:val="21"/>
          <w:szCs w:val="21"/>
          <w:lang w:eastAsia="zh-Hans"/>
        </w:rPr>
        <w:t>，</w:t>
      </w:r>
      <w:r>
        <w:rPr>
          <w:rFonts w:hint="eastAsia" w:ascii="宋体" w:hAnsi="宋体" w:eastAsia="宋体" w:cs="Calibri"/>
          <w:sz w:val="21"/>
          <w:szCs w:val="21"/>
        </w:rPr>
        <w:t>实验室及各类实验设备的使用效率大幅度提升，极大地激发了学生开展创新型、综合性、研究型科研项目和实验项目的积极性。</w:t>
      </w:r>
    </w:p>
    <w:p>
      <w:pPr>
        <w:pStyle w:val="29"/>
        <w:keepNext w:val="0"/>
        <w:keepLines w:val="0"/>
        <w:pageBreakBefore w:val="0"/>
        <w:kinsoku/>
        <w:wordWrap/>
        <w:overflowPunct/>
        <w:topLinePunct w:val="0"/>
        <w:bidi w:val="0"/>
        <w:snapToGrid/>
        <w:spacing w:line="360" w:lineRule="auto"/>
        <w:ind w:firstLine="422" w:firstLineChars="200"/>
        <w:jc w:val="both"/>
        <w:textAlignment w:val="auto"/>
        <w:rPr>
          <w:rFonts w:hint="default" w:ascii="宋体" w:hAnsi="宋体" w:eastAsia="宋体" w:cs="宋体"/>
          <w:b/>
          <w:bCs/>
          <w:color w:val="auto"/>
          <w:kern w:val="2"/>
          <w:sz w:val="21"/>
          <w:szCs w:val="21"/>
          <w:lang w:eastAsia="zh-Hans"/>
        </w:rPr>
      </w:pP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lang w:val="en-US" w:eastAsia="zh-Hans"/>
        </w:rPr>
        <w:t>三</w:t>
      </w:r>
      <w:r>
        <w:rPr>
          <w:rFonts w:hint="default" w:ascii="宋体" w:hAnsi="宋体" w:eastAsia="宋体" w:cs="宋体"/>
          <w:b/>
          <w:bCs/>
          <w:color w:val="auto"/>
          <w:kern w:val="2"/>
          <w:sz w:val="21"/>
          <w:szCs w:val="21"/>
        </w:rPr>
        <w:t>）</w:t>
      </w:r>
      <w:r>
        <w:rPr>
          <w:rFonts w:hint="eastAsia" w:ascii="宋体" w:hAnsi="宋体" w:eastAsia="宋体" w:cs="宋体"/>
          <w:b/>
          <w:bCs/>
          <w:color w:val="auto"/>
          <w:kern w:val="2"/>
          <w:sz w:val="21"/>
          <w:szCs w:val="21"/>
          <w:lang w:val="en-US" w:eastAsia="zh-Hans"/>
        </w:rPr>
        <w:t>结合艺术思政教育</w:t>
      </w: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lang w:val="en-US" w:eastAsia="zh-Hans"/>
        </w:rPr>
        <w:t>响应国家战略需求</w:t>
      </w:r>
      <w:r>
        <w:rPr>
          <w:rFonts w:hint="default" w:ascii="宋体" w:hAnsi="宋体" w:eastAsia="宋体" w:cs="宋体"/>
          <w:b/>
          <w:bCs/>
          <w:color w:val="auto"/>
          <w:kern w:val="2"/>
          <w:sz w:val="21"/>
          <w:szCs w:val="21"/>
          <w:lang w:eastAsia="zh-Hans"/>
        </w:rPr>
        <w:t>、</w:t>
      </w:r>
      <w:r>
        <w:rPr>
          <w:rFonts w:hint="eastAsia" w:ascii="宋体" w:hAnsi="宋体" w:eastAsia="宋体" w:cs="宋体"/>
          <w:b/>
          <w:bCs/>
          <w:color w:val="auto"/>
          <w:kern w:val="2"/>
          <w:sz w:val="21"/>
          <w:szCs w:val="21"/>
        </w:rPr>
        <w:t>发挥示范引领</w:t>
      </w:r>
      <w:r>
        <w:rPr>
          <w:rFonts w:hint="eastAsia" w:ascii="宋体" w:hAnsi="宋体" w:eastAsia="宋体" w:cs="宋体"/>
          <w:b/>
          <w:bCs/>
          <w:color w:val="auto"/>
          <w:kern w:val="2"/>
          <w:sz w:val="21"/>
          <w:szCs w:val="21"/>
          <w:lang w:val="en-US" w:eastAsia="zh-Hans"/>
        </w:rPr>
        <w:t>辐射作用</w:t>
      </w:r>
      <w:r>
        <w:rPr>
          <w:rFonts w:hint="default" w:ascii="宋体" w:hAnsi="宋体" w:eastAsia="宋体" w:cs="宋体"/>
          <w:b/>
          <w:bCs/>
          <w:color w:val="auto"/>
          <w:kern w:val="2"/>
          <w:sz w:val="21"/>
          <w:szCs w:val="21"/>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2021年，发挥艺术学科优势及显性价值，</w:t>
      </w:r>
      <w:r>
        <w:rPr>
          <w:rFonts w:hint="eastAsia" w:ascii="宋体" w:hAnsi="宋体" w:eastAsia="宋体" w:cs="宋体"/>
          <w:color w:val="000000" w:themeColor="text1"/>
          <w:sz w:val="21"/>
          <w:szCs w:val="21"/>
          <w:lang w:val="en-US" w:eastAsia="zh-Hans"/>
          <w14:textFill>
            <w14:solidFill>
              <w14:schemeClr w14:val="tx1"/>
            </w14:solidFill>
          </w14:textFill>
        </w:rPr>
        <w:t>学院</w:t>
      </w:r>
      <w:r>
        <w:rPr>
          <w:rFonts w:hint="eastAsia" w:ascii="宋体" w:hAnsi="宋体" w:eastAsia="宋体" w:cs="宋体"/>
          <w:color w:val="000000" w:themeColor="text1"/>
          <w:sz w:val="21"/>
          <w:szCs w:val="21"/>
          <w14:textFill>
            <w14:solidFill>
              <w14:schemeClr w14:val="tx1"/>
            </w14:solidFill>
          </w14:textFill>
        </w:rPr>
        <w:t>承担学校“庆华诞</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学党史”主题晚会的</w:t>
      </w:r>
      <w:r>
        <w:rPr>
          <w:rFonts w:hint="eastAsia" w:ascii="宋体" w:hAnsi="宋体" w:eastAsia="宋体" w:cs="宋体"/>
          <w:color w:val="000000" w:themeColor="text1"/>
          <w:sz w:val="21"/>
          <w:szCs w:val="21"/>
          <w:lang w:val="en-US" w:eastAsia="zh-Hans"/>
          <w14:textFill>
            <w14:solidFill>
              <w14:schemeClr w14:val="tx1"/>
            </w14:solidFill>
          </w14:textFill>
        </w:rPr>
        <w:t>创排</w:t>
      </w:r>
      <w:r>
        <w:rPr>
          <w:rFonts w:hint="eastAsia" w:ascii="宋体" w:hAnsi="宋体" w:eastAsia="宋体" w:cs="宋体"/>
          <w:color w:val="000000" w:themeColor="text1"/>
          <w:sz w:val="21"/>
          <w:szCs w:val="21"/>
          <w14:textFill>
            <w14:solidFill>
              <w14:schemeClr w14:val="tx1"/>
            </w14:solidFill>
          </w14:textFill>
        </w:rPr>
        <w:t>任务，将“信仰之光”扩展到全校</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中心在此晚会从无到有的过程中</w:t>
      </w:r>
      <w:r>
        <w:rPr>
          <w:rFonts w:hint="default"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始终是全学科的粘贴剂</w:t>
      </w:r>
      <w:r>
        <w:rPr>
          <w:rFonts w:hint="default"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为教学实践的转型贡献自己的力量</w:t>
      </w:r>
      <w:r>
        <w:rPr>
          <w:rFonts w:hint="default"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同年</w:t>
      </w:r>
      <w:r>
        <w:rPr>
          <w:rFonts w:hint="default"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中心协助全院共同</w:t>
      </w:r>
      <w:r>
        <w:rPr>
          <w:rFonts w:hint="eastAsia" w:ascii="宋体" w:hAnsi="宋体" w:eastAsia="宋体" w:cs="宋体"/>
          <w:color w:val="000000" w:themeColor="text1"/>
          <w:sz w:val="21"/>
          <w:szCs w:val="21"/>
          <w14:textFill>
            <w14:solidFill>
              <w14:schemeClr w14:val="tx1"/>
            </w14:solidFill>
          </w14:textFill>
        </w:rPr>
        <w:t>开展</w:t>
      </w:r>
      <w:r>
        <w:rPr>
          <w:rFonts w:hint="eastAsia" w:ascii="宋体" w:hAnsi="宋体" w:eastAsia="宋体" w:cs="宋体"/>
          <w:color w:val="000000" w:themeColor="text1"/>
          <w:sz w:val="21"/>
          <w:szCs w:val="21"/>
          <w:lang w:val="en-US" w:eastAsia="zh-Hans"/>
          <w14:textFill>
            <w14:solidFill>
              <w14:schemeClr w14:val="tx1"/>
            </w14:solidFill>
          </w14:textFill>
        </w:rPr>
        <w:t>了</w:t>
      </w:r>
      <w:r>
        <w:rPr>
          <w:rFonts w:hint="eastAsia" w:ascii="宋体" w:hAnsi="宋体" w:eastAsia="宋体" w:cs="宋体"/>
          <w:color w:val="000000" w:themeColor="text1"/>
          <w:sz w:val="21"/>
          <w:szCs w:val="21"/>
          <w14:textFill>
            <w14:solidFill>
              <w14:schemeClr w14:val="tx1"/>
            </w14:solidFill>
          </w14:textFill>
        </w:rPr>
        <w:t>特色鲜明的</w:t>
      </w:r>
      <w:r>
        <w:rPr>
          <w:rFonts w:hint="eastAsia" w:ascii="宋体" w:hAnsi="宋体" w:eastAsia="宋体" w:cs="宋体"/>
          <w:color w:val="000000" w:themeColor="text1"/>
          <w:sz w:val="21"/>
          <w:szCs w:val="21"/>
          <w:lang w:val="en-US" w:eastAsia="zh-Hans"/>
          <w14:textFill>
            <w14:solidFill>
              <w14:schemeClr w14:val="tx1"/>
            </w14:solidFill>
          </w14:textFill>
        </w:rPr>
        <w:t>系列</w:t>
      </w:r>
      <w:r>
        <w:rPr>
          <w:rFonts w:hint="eastAsia" w:ascii="宋体" w:hAnsi="宋体" w:eastAsia="宋体" w:cs="宋体"/>
          <w:color w:val="000000" w:themeColor="text1"/>
          <w:sz w:val="21"/>
          <w:szCs w:val="21"/>
          <w14:textFill>
            <w14:solidFill>
              <w14:schemeClr w14:val="tx1"/>
            </w14:solidFill>
          </w14:textFill>
        </w:rPr>
        <w:t>主题教育活动</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传承红色基因、弘扬时代精神</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在</w:t>
      </w:r>
      <w:r>
        <w:rPr>
          <w:rFonts w:hint="eastAsia" w:ascii="宋体" w:hAnsi="宋体" w:eastAsia="宋体" w:cs="宋体"/>
          <w:color w:val="000000" w:themeColor="text1"/>
          <w:sz w:val="21"/>
          <w:szCs w:val="21"/>
          <w14:textFill>
            <w14:solidFill>
              <w14:schemeClr w14:val="tx1"/>
            </w14:solidFill>
          </w14:textFill>
        </w:rPr>
        <w:t>平台</w:t>
      </w:r>
      <w:r>
        <w:rPr>
          <w:rFonts w:hint="eastAsia" w:ascii="宋体" w:hAnsi="宋体" w:eastAsia="宋体" w:cs="宋体"/>
          <w:color w:val="000000" w:themeColor="text1"/>
          <w:sz w:val="21"/>
          <w:szCs w:val="21"/>
          <w:lang w:val="en-US" w:eastAsia="zh-Hans"/>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搭建与社会服务上，成立艺术科技融合创新中心，深化产学研、助力粤港澳大湾区发展建设</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实现了艺术基础教育示范性建设的具体尝试与探索；主动服务国家战略，助力基础教育</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践行“以美育人”，以教材编写、师资培训等多种形式助力基础教育与乡村教育振兴，承办“强师工程”、“阳光计划”基层师资培训，由北至南，在祖国大地播撒“美”的种子；响应国家乡村振兴重大需求，首创“电影下乡——新时代大学生百乡电影支教行”，鼓励新时代大学生勇担使命，推动美育教育深入乡村基层中小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02200" cy="3268345"/>
            <wp:effectExtent l="0" t="0" r="12700" b="825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4902200" cy="3268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北京师范大学信仰之光</w:t>
      </w:r>
      <w:r>
        <w:rPr>
          <w:rFonts w:hint="eastAsia" w:ascii="宋体" w:hAnsi="宋体" w:eastAsia="宋体" w:cs="宋体"/>
          <w:color w:val="000000" w:themeColor="text1"/>
          <w:sz w:val="21"/>
          <w:szCs w:val="21"/>
          <w14:textFill>
            <w14:solidFill>
              <w14:schemeClr w14:val="tx1"/>
            </w14:solidFill>
          </w14:textFill>
        </w:rPr>
        <w:t>“庆华诞</w:t>
      </w:r>
      <w:r>
        <w:rPr>
          <w:rFonts w:hint="default"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学党史”主题晚会</w:t>
      </w:r>
    </w:p>
    <w:p>
      <w:pPr>
        <w:keepNext w:val="0"/>
        <w:keepLines w:val="0"/>
        <w:pageBreakBefore w:val="0"/>
        <w:numPr>
          <w:ilvl w:val="0"/>
          <w:numId w:val="3"/>
        </w:numPr>
        <w:kinsoku/>
        <w:wordWrap/>
        <w:overflowPunct/>
        <w:topLinePunct w:val="0"/>
        <w:bidi w:val="0"/>
        <w:snapToGrid/>
        <w:spacing w:line="360" w:lineRule="auto"/>
        <w:ind w:left="0" w:leftChars="0"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示范中心大事记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北京师范大学</w:t>
      </w:r>
      <w:r>
        <w:rPr>
          <w:rFonts w:hint="eastAsia" w:ascii="宋体" w:hAnsi="宋体" w:eastAsia="宋体" w:cs="宋体"/>
          <w:color w:val="000000" w:themeColor="text1"/>
          <w:sz w:val="21"/>
          <w:szCs w:val="21"/>
          <w14:textFill>
            <w14:solidFill>
              <w14:schemeClr w14:val="tx1"/>
            </w14:solidFill>
          </w14:textFill>
        </w:rPr>
        <w:t>传媒与艺术国家级实验教学示范中心</w:t>
      </w:r>
      <w:r>
        <w:rPr>
          <w:rFonts w:hint="eastAsia" w:ascii="宋体" w:hAnsi="宋体" w:eastAsia="宋体" w:cs="宋体"/>
          <w:color w:val="000000" w:themeColor="text1"/>
          <w:sz w:val="21"/>
          <w:szCs w:val="21"/>
          <w:lang w:val="en-US" w:eastAsia="zh-CN"/>
          <w14:textFill>
            <w14:solidFill>
              <w14:schemeClr w14:val="tx1"/>
            </w14:solidFill>
          </w14:textFill>
        </w:rPr>
        <w:t>致力于开拓虚拟仿真新型课程建设，在2020年开发</w:t>
      </w:r>
      <w:r>
        <w:rPr>
          <w:rFonts w:hint="eastAsia" w:ascii="宋体" w:hAnsi="宋体" w:eastAsia="宋体" w:cs="宋体"/>
          <w:color w:val="000000" w:themeColor="text1"/>
          <w:sz w:val="21"/>
          <w:szCs w:val="21"/>
          <w14:textFill>
            <w14:solidFill>
              <w14:schemeClr w14:val="tx1"/>
            </w14:solidFill>
          </w14:textFill>
        </w:rPr>
        <w:t>《影像艺术赏析》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PC版本</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虚拟仿真实验课程</w:t>
      </w:r>
      <w:r>
        <w:rPr>
          <w:rFonts w:hint="eastAsia" w:ascii="宋体" w:hAnsi="宋体" w:eastAsia="宋体" w:cs="宋体"/>
          <w:color w:val="000000" w:themeColor="text1"/>
          <w:sz w:val="21"/>
          <w:szCs w:val="21"/>
          <w:lang w:val="en-US" w:eastAsia="zh-CN"/>
          <w14:textFill>
            <w14:solidFill>
              <w14:schemeClr w14:val="tx1"/>
            </w14:solidFill>
          </w14:textFill>
        </w:rPr>
        <w:t>的基础上，</w:t>
      </w:r>
      <w:r>
        <w:rPr>
          <w:rFonts w:hint="eastAsia" w:ascii="宋体" w:hAnsi="宋体" w:eastAsia="宋体" w:cs="宋体"/>
          <w:color w:val="000000" w:themeColor="text1"/>
          <w:sz w:val="21"/>
          <w:szCs w:val="21"/>
          <w14:textFill>
            <w14:solidFill>
              <w14:schemeClr w14:val="tx1"/>
            </w14:solidFill>
          </w14:textFill>
        </w:rPr>
        <w:t>研发的《</w:t>
      </w:r>
      <w:r>
        <w:rPr>
          <w:rFonts w:hint="eastAsia" w:ascii="宋体" w:hAnsi="宋体" w:eastAsia="宋体" w:cs="宋体"/>
          <w:color w:val="000000" w:themeColor="text1"/>
          <w:sz w:val="21"/>
          <w:szCs w:val="21"/>
          <w:lang w:val="en-US" w:eastAsia="zh-CN"/>
          <w14:textFill>
            <w14:solidFill>
              <w14:schemeClr w14:val="tx1"/>
            </w14:solidFill>
          </w14:textFill>
        </w:rPr>
        <w:t>特殊场景</w:t>
      </w:r>
      <w:r>
        <w:rPr>
          <w:rFonts w:hint="eastAsia" w:ascii="宋体" w:hAnsi="宋体" w:eastAsia="宋体" w:cs="宋体"/>
          <w:color w:val="000000" w:themeColor="text1"/>
          <w:sz w:val="21"/>
          <w:szCs w:val="21"/>
          <w14:textFill>
            <w14:solidFill>
              <w14:schemeClr w14:val="tx1"/>
            </w14:solidFill>
          </w14:textFill>
        </w:rPr>
        <w:t>虚拟仿真</w:t>
      </w:r>
      <w:r>
        <w:rPr>
          <w:rFonts w:hint="eastAsia" w:ascii="宋体" w:hAnsi="宋体" w:eastAsia="宋体" w:cs="宋体"/>
          <w:color w:val="000000" w:themeColor="text1"/>
          <w:sz w:val="21"/>
          <w:szCs w:val="21"/>
          <w:lang w:val="en-US" w:eastAsia="zh-CN"/>
          <w14:textFill>
            <w14:solidFill>
              <w14:schemeClr w14:val="tx1"/>
            </w14:solidFill>
          </w14:textFill>
        </w:rPr>
        <w:t>拍摄</w:t>
      </w:r>
      <w:r>
        <w:rPr>
          <w:rFonts w:hint="eastAsia" w:ascii="宋体" w:hAnsi="宋体" w:eastAsia="宋体" w:cs="宋体"/>
          <w:color w:val="000000" w:themeColor="text1"/>
          <w:sz w:val="21"/>
          <w:szCs w:val="21"/>
          <w14:textFill>
            <w14:solidFill>
              <w14:schemeClr w14:val="tx1"/>
            </w14:solidFill>
          </w14:textFill>
        </w:rPr>
        <w:t>实验》，借助虚拟现实技术，高度还原 1949 年新中国成立时的天安门广场，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并呈现白天和黑夜两个场景。实验先带领学生观看天安门城楼相关的影视剧片段，以第一视角自由参观天安门广场和城楼，并在参观过程中</w:t>
      </w:r>
      <w:r>
        <w:rPr>
          <w:rFonts w:hint="eastAsia" w:ascii="宋体" w:hAnsi="宋体" w:eastAsia="宋体" w:cs="宋体"/>
          <w:color w:val="000000" w:themeColor="text1"/>
          <w:sz w:val="21"/>
          <w:szCs w:val="21"/>
          <w:lang w:val="en-US" w:eastAsia="zh-CN"/>
          <w14:textFill>
            <w14:solidFill>
              <w14:schemeClr w14:val="tx1"/>
            </w14:solidFill>
          </w14:textFill>
        </w:rPr>
        <w:t>模拟电影《我和我的祖国》升国旗拍摄片段，</w:t>
      </w:r>
      <w:r>
        <w:rPr>
          <w:rFonts w:hint="eastAsia" w:ascii="宋体" w:hAnsi="宋体" w:eastAsia="宋体" w:cs="宋体"/>
          <w:color w:val="000000" w:themeColor="text1"/>
          <w:sz w:val="21"/>
          <w:szCs w:val="21"/>
          <w14:textFill>
            <w14:solidFill>
              <w14:schemeClr w14:val="tx1"/>
            </w14:solidFill>
          </w14:textFill>
        </w:rPr>
        <w:t>最终化身为开国大典的亲历者，站在城楼上观礼，沉浸式感受开国大典的庄严与震撼。依托国家双一流A+学科“戏剧与影视学”发展平台优势，突破传统赏析课程“填鸭式”教学壁垒，整合艺术多学科实践教学与实验资源，助力精品课程教学改革</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目前</w:t>
      </w:r>
      <w:r>
        <w:rPr>
          <w:rFonts w:hint="eastAsia" w:ascii="宋体" w:hAnsi="宋体" w:eastAsia="宋体" w:cs="宋体"/>
          <w:color w:val="000000" w:themeColor="text1"/>
          <w:sz w:val="21"/>
          <w:szCs w:val="21"/>
          <w14:textFill>
            <w14:solidFill>
              <w14:schemeClr w14:val="tx1"/>
            </w14:solidFill>
          </w14:textFill>
        </w:rPr>
        <w:t>服务</w:t>
      </w:r>
      <w:r>
        <w:rPr>
          <w:rFonts w:hint="eastAsia" w:ascii="宋体" w:hAnsi="宋体" w:eastAsia="宋体" w:cs="宋体"/>
          <w:color w:val="000000" w:themeColor="text1"/>
          <w:sz w:val="21"/>
          <w:szCs w:val="21"/>
          <w:lang w:val="en-US" w:eastAsia="zh-CN"/>
          <w14:textFill>
            <w14:solidFill>
              <w14:schemeClr w14:val="tx1"/>
            </w14:solidFill>
          </w14:textFill>
        </w:rPr>
        <w:t>于</w:t>
      </w:r>
      <w:r>
        <w:rPr>
          <w:rFonts w:hint="eastAsia" w:ascii="宋体" w:hAnsi="宋体" w:eastAsia="宋体" w:cs="宋体"/>
          <w:color w:val="000000" w:themeColor="text1"/>
          <w:sz w:val="21"/>
          <w:szCs w:val="21"/>
          <w14:textFill>
            <w14:solidFill>
              <w14:schemeClr w14:val="tx1"/>
            </w14:solidFill>
          </w14:textFill>
        </w:rPr>
        <w:t>《中国经典影片鉴赏》（“线上一流”金课）《中国民族音乐鉴赏》（“线上一流”金课）《中国电影艺术审美鉴赏》</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中国电影艺术审美鉴赏</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（“线上一流”金课）《外国经典影片赏析》《影像艺术实践》《中外影视文化》《中国经典影片鉴赏》等课程，服务北京师范大学本部、珠海校区累计超过 </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000 人。逐步形成完善的艺术学科多门类交叉课程新模式，有效推动全国戏剧与影视学科课程体系建设。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1"/>
          <w:szCs w:val="21"/>
          <w14:textFill>
            <w14:solidFill>
              <w14:schemeClr w14:val="tx1"/>
            </w14:solidFill>
          </w14:textFill>
        </w:rPr>
      </w:pPr>
      <w:r>
        <w:drawing>
          <wp:inline distT="0" distB="0" distL="114300" distR="114300">
            <wp:extent cx="5269865" cy="2505710"/>
            <wp:effectExtent l="0" t="0" r="698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865" cy="2505710"/>
                    </a:xfrm>
                    <a:prstGeom prst="rect">
                      <a:avLst/>
                    </a:prstGeom>
                    <a:noFill/>
                    <a:ln>
                      <a:noFill/>
                    </a:ln>
                  </pic:spPr>
                </pic:pic>
              </a:graphicData>
            </a:graphic>
          </wp:inline>
        </w:drawing>
      </w:r>
    </w:p>
    <w:p>
      <w:pPr>
        <w:keepNext w:val="0"/>
        <w:keepLines w:val="0"/>
        <w:pageBreakBefore w:val="0"/>
        <w:numPr>
          <w:ilvl w:val="0"/>
          <w:numId w:val="3"/>
        </w:numPr>
        <w:kinsoku/>
        <w:wordWrap/>
        <w:overflowPunct/>
        <w:topLinePunct w:val="0"/>
        <w:bidi w:val="0"/>
        <w:snapToGrid/>
        <w:spacing w:line="360" w:lineRule="auto"/>
        <w:ind w:left="0" w:leftChars="0" w:firstLine="560" w:firstLineChars="200"/>
        <w:textAlignment w:val="auto"/>
        <w:rPr>
          <w:rFonts w:hint="eastAsia" w:ascii="黑体" w:hAnsi="黑体" w:eastAsia="黑体" w:cs="仿宋_GB2312"/>
          <w:color w:val="auto"/>
          <w:sz w:val="28"/>
          <w:szCs w:val="28"/>
        </w:rPr>
      </w:pPr>
      <w:r>
        <w:rPr>
          <w:rFonts w:hint="eastAsia" w:ascii="黑体" w:hAnsi="黑体" w:eastAsia="黑体" w:cs="仿宋_GB2312"/>
          <w:color w:val="auto"/>
          <w:sz w:val="28"/>
          <w:szCs w:val="28"/>
        </w:rPr>
        <w:t>示范中心存在的主要问题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是职称晋升名额少，难以满足中心人员发展需求。国家级实验教学示范中心对于教师的职称晋升有一定的要求。然而，由于名额有限，晋升的机会可能相对较少。这会导致一些优秀的教师在职业发展方面受到限制，缺乏晋升的动力和机会，进而影响到人才的流动和激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是投入经费少，尤其在疫情期间，经费投入近乎减半，难以维系实验中心发展。实验教学示范中心需要不断进行教学改革和创新，提供先进的教学设备和资源，以保持其高水平的教学质量。然而，由于经费有限，投入经费可能相对不足。这会限制中心进行教学研究和教育资源的更新与更新，影响到教学内容的更新和教学手段的创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三是固定人员编制少。实验教学示范中心需要一支稳定的、高水平的教师队伍来保证教学质量和实践能力。然而，由于固定人员编制较少，中心可难以吸引更多的高水平人才加入。这可能导致教师队伍的不稳定性和流动性增加，影响到中心的长期发展和教学实践的连续性。</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pageBreakBefore w:val="0"/>
        <w:numPr>
          <w:ilvl w:val="0"/>
          <w:numId w:val="0"/>
        </w:numPr>
        <w:kinsoku/>
        <w:wordWrap/>
        <w:overflowPunct/>
        <w:topLinePunct w:val="0"/>
        <w:bidi w:val="0"/>
        <w:snapToGrid/>
        <w:spacing w:line="360" w:lineRule="auto"/>
        <w:ind w:left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hAnsi="黑体" w:eastAsia="黑体" w:cs="仿宋_GB2312"/>
          <w:color w:val="auto"/>
          <w:sz w:val="28"/>
          <w:szCs w:val="28"/>
          <w:lang w:val="en-US" w:eastAsia="zh-CN"/>
        </w:rPr>
        <w:t>七、</w:t>
      </w:r>
      <w:r>
        <w:rPr>
          <w:rFonts w:hint="eastAsia" w:ascii="黑体" w:hAnsi="黑体" w:eastAsia="黑体" w:cs="仿宋_GB2312"/>
          <w:color w:val="auto"/>
          <w:sz w:val="28"/>
          <w:szCs w:val="28"/>
        </w:rPr>
        <w:t>所在学校与学校上级主管部门的支持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上级主管部门（北京师范大学教务部）在日常管理和经费拨付方面对传媒与艺术国家级实验教学示范中心的支持是至关重要的。一是日常管理支持。教务部作为中心的上级主管部门，在日常管理中起到指导和监督的作用，为中心提供必要的行政支持，协助制定和实施教学计划，推动教学改革和创新。二是经费拨付支持。教务部负责向中心拨付经费，以支持中心的运作和发展，这些经费用于购买和维护先进的教学设备、实验器材，提供教师培训和进修的机会，以及开展教学研究和实践项目，推动教学创新和实验教学成果的取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sectPr>
          <w:footerReference r:id="rId3" w:type="default"/>
          <w:pgSz w:w="11900" w:h="16840"/>
          <w:pgMar w:top="1440" w:right="1800" w:bottom="1440" w:left="1800" w:header="851" w:footer="992" w:gutter="0"/>
          <w:cols w:space="425" w:num="1"/>
          <w:docGrid w:type="lines" w:linePitch="326" w:charSpace="0"/>
        </w:sectPr>
      </w:pPr>
      <w:r>
        <w:rPr>
          <w:rFonts w:hint="eastAsia" w:ascii="宋体" w:hAnsi="宋体" w:eastAsia="宋体" w:cs="宋体"/>
          <w:color w:val="000000" w:themeColor="text1"/>
          <w:sz w:val="21"/>
          <w:szCs w:val="21"/>
          <w:lang w:val="en-US" w:eastAsia="zh-CN"/>
          <w14:textFill>
            <w14:solidFill>
              <w14:schemeClr w14:val="tx1"/>
            </w14:solidFill>
          </w14:textFill>
        </w:rPr>
        <w:t>总的来说，上级主管部门（北京师范大学教务部）在日常管理和经费拨付方面对传媒与艺术国家级实验教学示范中心提供了重要的支持。这种支持有助于中心的规范运作、优化教学资源配置，并为中心开展创新的教学实践提供了坚实的基础。通过与上级主管部门的密切合作，中心可以取得更多的实验教学成果，并为教育教学提供良好的示范和引领。</w:t>
      </w: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w:t>
      </w:r>
      <w:r>
        <w:rPr>
          <w:rFonts w:ascii="楷体" w:hAnsi="楷体" w:eastAsia="楷体"/>
          <w:w w:val="90"/>
          <w:sz w:val="28"/>
          <w:szCs w:val="28"/>
        </w:rPr>
        <w:t>1</w:t>
      </w:r>
      <w:r>
        <w:rPr>
          <w:rFonts w:hint="eastAsia" w:ascii="楷体" w:hAnsi="楷体" w:eastAsia="楷体"/>
          <w:w w:val="90"/>
          <w:sz w:val="28"/>
          <w:szCs w:val="28"/>
        </w:rPr>
        <w:t>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7"/>
        <w:gridCol w:w="1325"/>
        <w:gridCol w:w="959"/>
        <w:gridCol w:w="1317"/>
        <w:gridCol w:w="732"/>
        <w:gridCol w:w="801"/>
        <w:gridCol w:w="78"/>
        <w:gridCol w:w="78"/>
        <w:gridCol w:w="17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3337" w:type="pct"/>
            <w:gridSpan w:val="7"/>
          </w:tcPr>
          <w:p>
            <w:pPr>
              <w:spacing w:before="120" w:after="120" w:line="440" w:lineRule="exact"/>
              <w:rPr>
                <w:rFonts w:ascii="黑体" w:hAnsi="黑体" w:eastAsia="黑体"/>
                <w:bCs/>
                <w:sz w:val="28"/>
                <w:szCs w:val="28"/>
              </w:rPr>
            </w:pPr>
            <w:r>
              <w:rPr>
                <w:rFonts w:hint="eastAsia" w:ascii="Times New Roman" w:hAnsi="Times New Roman" w:eastAsia="楷体_GB2312"/>
                <w:b/>
                <w:sz w:val="28"/>
              </w:rPr>
              <w:t>传媒</w:t>
            </w:r>
            <w:r>
              <w:rPr>
                <w:rFonts w:ascii="Times New Roman" w:hAnsi="Times New Roman" w:eastAsia="楷体_GB2312"/>
                <w:b/>
                <w:sz w:val="28"/>
              </w:rPr>
              <w:t>与艺术</w:t>
            </w:r>
            <w:r>
              <w:rPr>
                <w:rFonts w:hint="eastAsia" w:ascii="Times New Roman" w:hAnsi="Times New Roman" w:eastAsia="楷体_GB2312"/>
                <w:b/>
                <w:sz w:val="28"/>
                <w:lang w:val="en-US" w:eastAsia="zh-CN"/>
              </w:rPr>
              <w:t>国家级</w:t>
            </w:r>
            <w:r>
              <w:rPr>
                <w:rFonts w:ascii="Times New Roman" w:hAnsi="Times New Roman" w:eastAsia="楷体_GB2312"/>
                <w:b/>
                <w:sz w:val="28"/>
              </w:rPr>
              <w:t>实验教学</w:t>
            </w:r>
            <w:r>
              <w:rPr>
                <w:rFonts w:hint="eastAsia" w:ascii="Times New Roman" w:hAnsi="Times New Roman" w:eastAsia="楷体_GB2312"/>
                <w:b/>
                <w:sz w:val="28"/>
                <w:lang w:val="en-US" w:eastAsia="zh-CN"/>
              </w:rPr>
              <w:t>示范</w:t>
            </w:r>
            <w:r>
              <w:rPr>
                <w:rFonts w:ascii="Times New Roman" w:hAnsi="Times New Roman" w:eastAsia="楷体_GB2312"/>
                <w:b/>
                <w:sz w:val="28"/>
              </w:rPr>
              <w:t>中心</w:t>
            </w:r>
            <w:r>
              <w:rPr>
                <w:rFonts w:hint="eastAsia" w:ascii="Times New Roman" w:hAnsi="Times New Roman" w:eastAsia="楷体_GB2312"/>
                <w:b/>
                <w:sz w:val="28"/>
                <w:lang w:eastAsia="zh-CN"/>
              </w:rPr>
              <w:t>（</w:t>
            </w:r>
            <w:r>
              <w:rPr>
                <w:rFonts w:hint="eastAsia" w:ascii="Times New Roman" w:hAnsi="Times New Roman" w:eastAsia="楷体_GB2312"/>
                <w:b/>
                <w:sz w:val="28"/>
                <w:lang w:val="en-US" w:eastAsia="zh-CN"/>
              </w:rPr>
              <w:t>北京师范大学</w:t>
            </w:r>
            <w:r>
              <w:rPr>
                <w:rFonts w:hint="eastAsia" w:ascii="Times New Roman" w:hAnsi="Times New Roman" w:eastAsia="楷体_GB2312"/>
                <w:b/>
                <w:sz w:val="28"/>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3337" w:type="pct"/>
            <w:gridSpan w:val="7"/>
          </w:tcPr>
          <w:p>
            <w:pPr>
              <w:rPr>
                <w:rFonts w:ascii="黑体" w:hAnsi="黑体" w:eastAsia="黑体"/>
                <w:bCs/>
                <w:sz w:val="28"/>
                <w:szCs w:val="28"/>
              </w:rPr>
            </w:pPr>
            <w:r>
              <w:rPr>
                <w:rFonts w:hint="eastAsia" w:ascii="黑体" w:hAnsi="黑体" w:eastAsia="黑体"/>
                <w:bCs/>
                <w:sz w:val="28"/>
                <w:szCs w:val="28"/>
              </w:rPr>
              <w:t>北京</w:t>
            </w:r>
            <w:r>
              <w:rPr>
                <w:rFonts w:ascii="黑体" w:hAnsi="黑体" w:eastAsia="黑体"/>
                <w:bCs/>
                <w:sz w:val="28"/>
                <w:szCs w:val="28"/>
              </w:rPr>
              <w:t>师范大学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3337" w:type="pct"/>
            <w:gridSpan w:val="7"/>
          </w:tcPr>
          <w:p>
            <w:pPr>
              <w:rPr>
                <w:rFonts w:hint="eastAsia" w:ascii="黑体" w:hAnsi="黑体" w:eastAsia="黑体"/>
                <w:bCs/>
                <w:sz w:val="28"/>
                <w:szCs w:val="28"/>
                <w:lang w:val="en-US" w:eastAsia="zh-CN"/>
              </w:rPr>
            </w:pPr>
            <w:r>
              <w:rPr>
                <w:rFonts w:hint="eastAsia" w:ascii="黑体" w:hAnsi="黑体" w:eastAsia="黑体"/>
                <w:bCs/>
                <w:sz w:val="28"/>
                <w:szCs w:val="28"/>
                <w:lang w:val="en-US" w:eastAsia="zh-CN"/>
              </w:rPr>
              <w:t>教育部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3337" w:type="pct"/>
            <w:gridSpan w:val="7"/>
          </w:tcPr>
          <w:p>
            <w:pPr>
              <w:rPr>
                <w:rFonts w:ascii="黑体" w:hAnsi="黑体" w:eastAsia="黑体"/>
                <w:bCs/>
                <w:color w:val="000000" w:themeColor="text1"/>
                <w:sz w:val="28"/>
                <w:szCs w:val="28"/>
                <w14:textFill>
                  <w14:solidFill>
                    <w14:schemeClr w14:val="tx1"/>
                  </w14:solidFill>
                </w14:textFill>
              </w:rPr>
            </w:pPr>
            <w:r>
              <w:rPr>
                <w:rFonts w:ascii="黑体" w:hAnsi="黑体" w:eastAsia="黑体"/>
                <w:bCs/>
                <w:sz w:val="28"/>
                <w:szCs w:val="28"/>
              </w:rPr>
              <w:t>http://www.art.bnu.edu.cn/syzx/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1766" w:type="pct"/>
            <w:gridSpan w:val="3"/>
            <w:vAlign w:val="center"/>
          </w:tcPr>
          <w:p>
            <w:pPr>
              <w:jc w:val="center"/>
              <w:rPr>
                <w:rFonts w:ascii="黑体" w:hAnsi="黑体" w:eastAsia="黑体"/>
                <w:bCs/>
                <w:sz w:val="28"/>
                <w:szCs w:val="28"/>
              </w:rPr>
            </w:pPr>
            <w:r>
              <w:rPr>
                <w:rFonts w:hint="eastAsia" w:ascii="黑体" w:hAnsi="黑体" w:eastAsia="黑体"/>
                <w:bCs/>
                <w:sz w:val="28"/>
                <w:szCs w:val="28"/>
              </w:rPr>
              <w:t>北京</w:t>
            </w:r>
            <w:r>
              <w:rPr>
                <w:rFonts w:ascii="黑体" w:hAnsi="黑体" w:eastAsia="黑体"/>
                <w:bCs/>
                <w:sz w:val="28"/>
                <w:szCs w:val="28"/>
              </w:rPr>
              <w:t>师范大学</w:t>
            </w:r>
            <w:r>
              <w:rPr>
                <w:rFonts w:hint="eastAsia" w:ascii="黑体" w:hAnsi="黑体" w:eastAsia="黑体"/>
                <w:bCs/>
                <w:sz w:val="28"/>
                <w:szCs w:val="28"/>
              </w:rPr>
              <w:t>艺术楼</w:t>
            </w:r>
          </w:p>
        </w:tc>
        <w:tc>
          <w:tcPr>
            <w:tcW w:w="562" w:type="pct"/>
            <w:gridSpan w:val="3"/>
            <w:vAlign w:val="center"/>
          </w:tcPr>
          <w:p>
            <w:pPr>
              <w:jc w:val="center"/>
              <w:rPr>
                <w:rFonts w:ascii="黑体" w:hAnsi="黑体" w:eastAsia="黑体"/>
                <w:bCs/>
                <w:sz w:val="28"/>
                <w:szCs w:val="28"/>
              </w:rPr>
            </w:pPr>
            <w:r>
              <w:rPr>
                <w:rFonts w:hint="eastAsia" w:ascii="黑体" w:hAnsi="黑体" w:eastAsia="黑体"/>
                <w:bCs/>
                <w:sz w:val="28"/>
                <w:szCs w:val="28"/>
              </w:rPr>
              <w:t>邮政编码</w:t>
            </w:r>
          </w:p>
        </w:tc>
        <w:tc>
          <w:tcPr>
            <w:tcW w:w="1009" w:type="pct"/>
            <w:vAlign w:val="center"/>
          </w:tcPr>
          <w:p>
            <w:pPr>
              <w:jc w:val="center"/>
              <w:rPr>
                <w:rFonts w:ascii="黑体" w:hAnsi="黑体" w:eastAsia="黑体"/>
                <w:bCs/>
                <w:sz w:val="28"/>
                <w:szCs w:val="28"/>
              </w:rPr>
            </w:pPr>
            <w:r>
              <w:rPr>
                <w:rFonts w:hint="eastAsia" w:ascii="黑体" w:hAnsi="黑体" w:eastAsia="黑体"/>
                <w:bCs/>
                <w:sz w:val="28"/>
                <w:szCs w:val="28"/>
              </w:rPr>
              <w:t>1</w:t>
            </w:r>
            <w:r>
              <w:rPr>
                <w:rFonts w:ascii="黑体" w:hAnsi="黑体" w:eastAsia="黑体"/>
                <w:bCs/>
                <w:sz w:val="28"/>
                <w:szCs w:val="28"/>
              </w:rPr>
              <w:t>00875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3337" w:type="pct"/>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85" w:type="pct"/>
            <w:vAlign w:val="center"/>
          </w:tcPr>
          <w:p>
            <w:pPr>
              <w:jc w:val="center"/>
              <w:rPr>
                <w:rFonts w:ascii="黑体" w:hAnsi="黑体" w:eastAsia="黑体"/>
                <w:bCs/>
                <w:sz w:val="28"/>
                <w:szCs w:val="28"/>
              </w:rPr>
            </w:pPr>
            <w:r>
              <w:rPr>
                <w:rFonts w:hint="eastAsia" w:ascii="黑体" w:hAnsi="黑体" w:eastAsia="黑体"/>
                <w:bCs/>
                <w:sz w:val="28"/>
                <w:szCs w:val="28"/>
              </w:rPr>
              <w:t>建筑面积</w:t>
            </w:r>
          </w:p>
        </w:tc>
        <w:tc>
          <w:tcPr>
            <w:tcW w:w="778" w:type="pct"/>
            <w:vAlign w:val="center"/>
          </w:tcPr>
          <w:p>
            <w:pPr>
              <w:jc w:val="center"/>
              <w:rPr>
                <w:rFonts w:ascii="楷体" w:hAnsi="楷体" w:eastAsia="楷体"/>
                <w:bCs/>
                <w:sz w:val="28"/>
                <w:szCs w:val="28"/>
              </w:rPr>
            </w:pPr>
            <w:r>
              <w:rPr>
                <w:rFonts w:ascii="黑体" w:hAnsi="黑体" w:eastAsia="黑体"/>
                <w:bCs/>
                <w:color w:val="000000" w:themeColor="text1"/>
                <w:sz w:val="28"/>
                <w:szCs w:val="28"/>
                <w14:textFill>
                  <w14:solidFill>
                    <w14:schemeClr w14:val="tx1"/>
                  </w14:solidFill>
                </w14:textFill>
              </w:rPr>
              <w:t>1903</w:t>
            </w:r>
            <w:r>
              <w:rPr>
                <w:rFonts w:hint="eastAsia" w:ascii="楷体" w:hAnsi="楷体" w:eastAsia="楷体"/>
                <w:bCs/>
                <w:sz w:val="28"/>
                <w:szCs w:val="28"/>
              </w:rPr>
              <w:t>㎡</w:t>
            </w:r>
          </w:p>
        </w:tc>
        <w:tc>
          <w:tcPr>
            <w:tcW w:w="563" w:type="pct"/>
            <w:vAlign w:val="center"/>
          </w:tcPr>
          <w:p>
            <w:pPr>
              <w:jc w:val="center"/>
              <w:rPr>
                <w:rFonts w:ascii="黑体" w:hAnsi="黑体" w:eastAsia="黑体"/>
                <w:bCs/>
                <w:sz w:val="28"/>
                <w:szCs w:val="28"/>
              </w:rPr>
            </w:pPr>
            <w:r>
              <w:rPr>
                <w:rFonts w:hint="eastAsia" w:ascii="黑体" w:hAnsi="黑体" w:eastAsia="黑体"/>
                <w:bCs/>
                <w:sz w:val="28"/>
                <w:szCs w:val="28"/>
              </w:rPr>
              <w:t>设备总值</w:t>
            </w:r>
          </w:p>
        </w:tc>
        <w:tc>
          <w:tcPr>
            <w:tcW w:w="773" w:type="pct"/>
            <w:vAlign w:val="center"/>
          </w:tcPr>
          <w:p>
            <w:pPr>
              <w:jc w:val="center"/>
              <w:rPr>
                <w:rFonts w:ascii="黑体" w:hAnsi="黑体" w:eastAsia="黑体"/>
                <w:bCs/>
                <w:sz w:val="28"/>
                <w:szCs w:val="28"/>
              </w:rPr>
            </w:pPr>
            <w:r>
              <w:rPr>
                <w:rFonts w:hint="eastAsia" w:ascii="黑体" w:hAnsi="黑体" w:eastAsia="黑体"/>
                <w:bCs/>
                <w:sz w:val="28"/>
                <w:szCs w:val="28"/>
              </w:rPr>
              <w:t>5</w:t>
            </w:r>
            <w:r>
              <w:rPr>
                <w:rFonts w:ascii="黑体" w:hAnsi="黑体" w:eastAsia="黑体"/>
                <w:bCs/>
                <w:sz w:val="28"/>
                <w:szCs w:val="28"/>
              </w:rPr>
              <w:t>15</w:t>
            </w:r>
            <w:r>
              <w:rPr>
                <w:rFonts w:hint="eastAsia" w:ascii="楷体" w:hAnsi="楷体" w:eastAsia="楷体"/>
                <w:bCs/>
                <w:sz w:val="28"/>
                <w:szCs w:val="28"/>
              </w:rPr>
              <w:t>万元</w:t>
            </w:r>
          </w:p>
        </w:tc>
        <w:tc>
          <w:tcPr>
            <w:tcW w:w="900" w:type="pct"/>
            <w:gridSpan w:val="2"/>
            <w:vAlign w:val="center"/>
          </w:tcPr>
          <w:p>
            <w:pPr>
              <w:jc w:val="center"/>
              <w:rPr>
                <w:rFonts w:ascii="黑体" w:hAnsi="黑体" w:eastAsia="黑体"/>
                <w:bCs/>
                <w:sz w:val="28"/>
                <w:szCs w:val="28"/>
              </w:rPr>
            </w:pPr>
            <w:r>
              <w:rPr>
                <w:rFonts w:hint="eastAsia" w:ascii="黑体" w:hAnsi="黑体" w:eastAsia="黑体"/>
                <w:bCs/>
                <w:sz w:val="28"/>
                <w:szCs w:val="28"/>
              </w:rPr>
              <w:t>设备台数</w:t>
            </w:r>
          </w:p>
        </w:tc>
        <w:tc>
          <w:tcPr>
            <w:tcW w:w="1101" w:type="pct"/>
            <w:gridSpan w:val="3"/>
            <w:vAlign w:val="center"/>
          </w:tcPr>
          <w:p>
            <w:pPr>
              <w:jc w:val="center"/>
              <w:rPr>
                <w:rFonts w:ascii="黑体" w:hAnsi="黑体" w:eastAsia="黑体"/>
                <w:bCs/>
                <w:sz w:val="28"/>
                <w:szCs w:val="28"/>
              </w:rPr>
            </w:pPr>
            <w:r>
              <w:rPr>
                <w:rFonts w:hint="eastAsia" w:ascii="黑体" w:hAnsi="黑体" w:eastAsia="黑体"/>
                <w:bCs/>
                <w:sz w:val="28"/>
                <w:szCs w:val="28"/>
              </w:rPr>
              <w:t>1</w:t>
            </w:r>
            <w:r>
              <w:rPr>
                <w:rFonts w:ascii="黑体" w:hAnsi="黑体" w:eastAsia="黑体"/>
                <w:bCs/>
                <w:sz w:val="28"/>
                <w:szCs w:val="28"/>
              </w:rPr>
              <w:t>78</w:t>
            </w:r>
            <w:r>
              <w:rPr>
                <w:rFonts w:hint="eastAsia" w:ascii="黑体" w:hAnsi="黑体" w:eastAsia="黑体"/>
                <w:bCs/>
                <w:sz w:val="28"/>
                <w:szCs w:val="28"/>
              </w:rPr>
              <w:t>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3337" w:type="pct"/>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Borders>
              <w:right w:val="single" w:color="auto" w:sz="4" w:space="0"/>
            </w:tcBorders>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563" w:type="pct"/>
            <w:tcBorders>
              <w:left w:val="single" w:color="auto" w:sz="4" w:space="0"/>
            </w:tcBorders>
            <w:vAlign w:val="center"/>
          </w:tcPr>
          <w:p>
            <w:pPr>
              <w:ind w:firstLine="274" w:firstLineChars="98"/>
              <w:jc w:val="center"/>
              <w:rPr>
                <w:rFonts w:ascii="楷体" w:hAnsi="楷体" w:eastAsia="楷体"/>
                <w:bCs/>
                <w:sz w:val="28"/>
                <w:szCs w:val="28"/>
              </w:rPr>
            </w:pPr>
          </w:p>
        </w:tc>
        <w:tc>
          <w:tcPr>
            <w:tcW w:w="1719" w:type="pct"/>
            <w:gridSpan w:val="4"/>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055" w:type="pct"/>
            <w:gridSpan w:val="2"/>
            <w:vAlign w:val="center"/>
          </w:tcPr>
          <w:p>
            <w:pPr>
              <w:ind w:firstLine="271" w:firstLineChars="97"/>
              <w:jc w:val="center"/>
              <w:rPr>
                <w:rFonts w:hint="default" w:ascii="楷体" w:hAnsi="楷体" w:eastAsia="楷体"/>
                <w:bCs/>
                <w:sz w:val="28"/>
                <w:szCs w:val="28"/>
                <w:lang w:val="en-US" w:eastAsia="zh-CN"/>
              </w:rPr>
            </w:pPr>
            <w:r>
              <w:rPr>
                <w:rFonts w:hint="eastAsia" w:ascii="楷体" w:hAnsi="楷体" w:eastAsia="楷体"/>
                <w:bCs/>
                <w:sz w:val="28"/>
                <w:szCs w:val="28"/>
                <w:lang w:val="en-US" w:eastAsia="zh-CN"/>
              </w:rPr>
              <w:t>65</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numPr>
          <w:ilvl w:val="0"/>
          <w:numId w:val="4"/>
        </w:num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人才队伍基本情况</w:t>
      </w:r>
    </w:p>
    <w:p>
      <w:pPr>
        <w:spacing w:before="163" w:beforeLines="50"/>
        <w:rPr>
          <w:rFonts w:ascii="黑体" w:hAnsi="黑体" w:eastAsia="黑体"/>
          <w:bCs/>
          <w:sz w:val="28"/>
          <w:szCs w:val="28"/>
        </w:rPr>
      </w:pPr>
    </w:p>
    <w:p>
      <w:pPr>
        <w:spacing w:before="163" w:beforeLines="50"/>
        <w:rPr>
          <w:rFonts w:ascii="黑体" w:hAnsi="黑体" w:eastAsia="黑体"/>
          <w:bCs/>
          <w:sz w:val="28"/>
          <w:szCs w:val="28"/>
        </w:rPr>
      </w:pPr>
    </w:p>
    <w:p>
      <w:pPr>
        <w:spacing w:before="163" w:beforeLines="5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7"/>
        <w:tblW w:w="8508" w:type="dxa"/>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0"/>
        <w:gridCol w:w="1134"/>
        <w:gridCol w:w="851"/>
        <w:gridCol w:w="992"/>
        <w:gridCol w:w="984"/>
        <w:gridCol w:w="8"/>
        <w:gridCol w:w="851"/>
        <w:gridCol w:w="1247"/>
        <w:gridCol w:w="879"/>
        <w:gridCol w:w="99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7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序号</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姓名</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性别</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出生年份</w:t>
            </w:r>
          </w:p>
        </w:tc>
        <w:tc>
          <w:tcPr>
            <w:tcW w:w="99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职称</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职务</w:t>
            </w:r>
          </w:p>
        </w:tc>
        <w:tc>
          <w:tcPr>
            <w:tcW w:w="1247"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工作性质</w:t>
            </w:r>
          </w:p>
        </w:tc>
        <w:tc>
          <w:tcPr>
            <w:tcW w:w="87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学位</w:t>
            </w:r>
          </w:p>
        </w:tc>
        <w:tc>
          <w:tcPr>
            <w:tcW w:w="992"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r>
              <w:rPr>
                <w:rFonts w:hint="eastAsia" w:ascii="黑体" w:hAnsi="黑体" w:eastAsia="黑体" w:cs="黑体"/>
                <w:bCs/>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周星</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1958</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正高级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主任</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教学</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硕士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博导</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肖向荣</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1971</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正高级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副主任</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教学</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博</w:t>
            </w:r>
            <w:r>
              <w:rPr>
                <w:rFonts w:hint="eastAsia" w:ascii="宋体" w:hAnsi="宋体" w:eastAsia="宋体" w:cs="宋体"/>
                <w:sz w:val="21"/>
                <w:szCs w:val="21"/>
              </w:rPr>
              <w:t>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博导</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3</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吕兵</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1966</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中级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管理</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硕士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周蓬勃</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1984</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副高级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博</w:t>
            </w:r>
            <w:r>
              <w:rPr>
                <w:rFonts w:hint="eastAsia" w:ascii="宋体" w:hAnsi="宋体" w:eastAsia="宋体" w:cs="宋体"/>
                <w:sz w:val="21"/>
                <w:szCs w:val="21"/>
              </w:rPr>
              <w:t>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余献平</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1983</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副高级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硕士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王赟姝</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女</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1991</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中级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硕士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王兰侠</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女</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w:t>
            </w:r>
            <w:r>
              <w:rPr>
                <w:rFonts w:hint="eastAsia" w:ascii="宋体" w:hAnsi="宋体" w:eastAsia="宋体" w:cs="宋体"/>
                <w:sz w:val="21"/>
                <w:szCs w:val="21"/>
                <w:lang w:val="en-US" w:eastAsia="zh-CN"/>
              </w:rPr>
              <w:t>6</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中级</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管理</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博士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闫贝妮</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女</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1989</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硕士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单良</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男</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1984</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管理</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学士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70"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10</w:t>
            </w: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周蕊</w:t>
            </w:r>
          </w:p>
        </w:tc>
        <w:tc>
          <w:tcPr>
            <w:tcW w:w="85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女</w:t>
            </w: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1984</w:t>
            </w:r>
          </w:p>
        </w:tc>
        <w:tc>
          <w:tcPr>
            <w:tcW w:w="98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85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其它</w:t>
            </w:r>
          </w:p>
        </w:tc>
        <w:tc>
          <w:tcPr>
            <w:tcW w:w="1247"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管理</w:t>
            </w:r>
          </w:p>
        </w:tc>
        <w:tc>
          <w:tcPr>
            <w:tcW w:w="879"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学士</w:t>
            </w:r>
          </w:p>
        </w:tc>
        <w:tc>
          <w:tcPr>
            <w:tcW w:w="99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lang w:val="en-US" w:eastAsia="zh-CN"/>
              </w:rPr>
            </w:pPr>
          </w:p>
        </w:tc>
      </w:tr>
    </w:tbl>
    <w:p>
      <w:pPr>
        <w:spacing w:before="163" w:beforeLines="50"/>
        <w:ind w:firstLine="480" w:firstLineChars="200"/>
        <w:rPr>
          <w:rFonts w:ascii="楷体" w:hAnsi="楷体" w:eastAsia="楷体"/>
        </w:rPr>
      </w:pPr>
      <w:r>
        <w:rPr>
          <w:rFonts w:hint="eastAsia" w:ascii="楷体" w:hAnsi="楷体" w:eastAsia="楷体" w:cs="仿宋_GB2312"/>
          <w:bCs/>
        </w:rPr>
        <w:t>注：（1）</w:t>
      </w:r>
      <w:r>
        <w:rPr>
          <w:rFonts w:hint="eastAsia" w:ascii="楷体" w:hAnsi="楷体" w:eastAsia="楷体" w:cs="仿宋_GB2312"/>
        </w:rPr>
        <w:t>固定人员：指高等学校聘用的聘期2年以上的全职人员，包括教学、技术和管理人员。（2）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教学、技术、管理、其他。具有多种性质的，选填其中主要工作性质即可。（4）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beforeLines="50" w:after="163" w:afterLines="50"/>
        <w:ind w:firstLine="560" w:firstLineChars="200"/>
        <w:rPr>
          <w:rFonts w:ascii="黑体" w:hAnsi="黑体" w:eastAsia="黑体"/>
          <w:sz w:val="28"/>
          <w:szCs w:val="28"/>
        </w:rPr>
      </w:pPr>
      <w:r>
        <w:rPr>
          <w:rFonts w:hint="eastAsia" w:ascii="黑体" w:hAnsi="黑体" w:eastAsia="黑体"/>
          <w:bCs/>
          <w:sz w:val="28"/>
          <w:szCs w:val="28"/>
        </w:rPr>
        <w:t>（二）</w:t>
      </w:r>
      <w:r>
        <w:rPr>
          <w:rFonts w:hint="eastAsia" w:ascii="黑体" w:hAnsi="黑体" w:eastAsia="黑体"/>
          <w:sz w:val="28"/>
          <w:szCs w:val="28"/>
        </w:rPr>
        <w:t>本年度流动人员情况</w:t>
      </w:r>
    </w:p>
    <w:tbl>
      <w:tblPr>
        <w:tblStyle w:val="7"/>
        <w:tblW w:w="4897"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16"/>
        <w:gridCol w:w="767"/>
        <w:gridCol w:w="1300"/>
        <w:gridCol w:w="769"/>
        <w:gridCol w:w="769"/>
        <w:gridCol w:w="1301"/>
        <w:gridCol w:w="771"/>
        <w:gridCol w:w="123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3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42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6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77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46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6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78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462"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738"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429"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张璐</w:t>
            </w:r>
          </w:p>
        </w:tc>
        <w:tc>
          <w:tcPr>
            <w:tcW w:w="460"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女</w:t>
            </w:r>
          </w:p>
        </w:tc>
        <w:tc>
          <w:tcPr>
            <w:tcW w:w="779"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1983.3</w:t>
            </w:r>
          </w:p>
        </w:tc>
        <w:tc>
          <w:tcPr>
            <w:tcW w:w="461"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副教授</w:t>
            </w:r>
          </w:p>
        </w:tc>
        <w:tc>
          <w:tcPr>
            <w:tcW w:w="461"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6"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6" w:space="0"/>
              <w:left w:val="single" w:color="auto" w:sz="4" w:space="0"/>
              <w:bottom w:val="single" w:color="auto" w:sz="4"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2</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陈刚</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男</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1979.3</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2019至今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3</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樊启鹏</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男</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1979.3</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4</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侯海涛</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男</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1974.4</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副教授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5</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任晟姝</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女</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1982.5</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副教授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6</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周雯</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女</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1974.3</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7</w:t>
            </w:r>
          </w:p>
        </w:tc>
        <w:tc>
          <w:tcPr>
            <w:tcW w:w="4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何威</w:t>
            </w:r>
          </w:p>
        </w:tc>
        <w:tc>
          <w:tcPr>
            <w:tcW w:w="4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男</w:t>
            </w:r>
          </w:p>
        </w:tc>
        <w:tc>
          <w:tcPr>
            <w:tcW w:w="77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1978.3</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校内</w:t>
            </w:r>
          </w:p>
        </w:tc>
        <w:tc>
          <w:tcPr>
            <w:tcW w:w="73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000000"/>
                <w:sz w:val="21"/>
                <w:szCs w:val="21"/>
                <w:shd w:val="clear" w:color="auto" w:fill="auto"/>
              </w:rPr>
            </w:pPr>
            <w:r>
              <w:rPr>
                <w:rFonts w:hint="eastAsia" w:ascii="宋体" w:hAnsi="宋体" w:eastAsia="宋体" w:cs="宋体"/>
                <w:color w:val="000000"/>
                <w:sz w:val="21"/>
                <w:szCs w:val="21"/>
                <w:shd w:val="clear" w:color="auto" w:fill="auto"/>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8</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陈亦水</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1986.11</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副教授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9</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丁妮</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1984.3</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工程师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2019至今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10</w:t>
            </w:r>
          </w:p>
          <w:p>
            <w:pPr>
              <w:adjustRightInd w:val="0"/>
              <w:snapToGrid w:val="0"/>
              <w:jc w:val="center"/>
              <w:rPr>
                <w:rFonts w:hint="eastAsia" w:ascii="宋体" w:hAnsi="宋体" w:eastAsia="宋体" w:cs="宋体"/>
                <w:sz w:val="21"/>
                <w:szCs w:val="21"/>
              </w:rPr>
            </w:pP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张荪</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1978.2</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11</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叶波</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1978.12</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12</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王杰</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1979.9</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13</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王熙</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1986.12</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副教授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14</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武萌</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1984.12</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2019至今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15</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闫贝妮</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1989.5</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2019至今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16</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朱杰</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1975.11</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17</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肖艳</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1985.2</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副教授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2020年至今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18</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胡帅</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1990.8</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19</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邸大鹏</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1977.1</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20</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张艺耀</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1991.8</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21</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甄巍</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1968.9</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22</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王鹏</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1981.6</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教授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成立至今</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3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23</w:t>
            </w:r>
          </w:p>
        </w:tc>
        <w:tc>
          <w:tcPr>
            <w:tcW w:w="42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熙方方</w:t>
            </w:r>
          </w:p>
        </w:tc>
        <w:tc>
          <w:tcPr>
            <w:tcW w:w="460"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779"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1983.1</w:t>
            </w:r>
          </w:p>
        </w:tc>
        <w:tc>
          <w:tcPr>
            <w:tcW w:w="461"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讲师</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7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校内</w:t>
            </w:r>
          </w:p>
        </w:tc>
        <w:tc>
          <w:tcPr>
            <w:tcW w:w="738" w:type="pct"/>
            <w:tcBorders>
              <w:top w:val="single" w:color="auto" w:sz="4" w:space="0"/>
              <w:left w:val="single" w:color="auto" w:sz="4" w:space="0"/>
              <w:bottom w:val="single" w:color="auto" w:sz="4" w:space="0"/>
              <w:right w:val="single" w:color="auto" w:sz="4" w:space="0"/>
            </w:tcBorders>
            <w:vAlign w:val="center"/>
          </w:tcPr>
          <w:p>
            <w:pPr>
              <w:pStyle w:val="6"/>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2020至今</w:t>
            </w:r>
          </w:p>
        </w:tc>
      </w:tr>
    </w:tbl>
    <w:p>
      <w:pPr>
        <w:spacing w:before="163" w:beforeLines="50"/>
        <w:ind w:firstLine="480" w:firstLineChars="200"/>
        <w:rPr>
          <w:rFonts w:ascii="楷体" w:hAnsi="楷体" w:eastAsia="楷体"/>
        </w:rPr>
      </w:pPr>
    </w:p>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sz w:val="28"/>
          <w:szCs w:val="28"/>
        </w:rPr>
        <w:t>（三）本年度</w:t>
      </w:r>
      <w:r>
        <w:rPr>
          <w:rFonts w:hint="eastAsia" w:ascii="黑体" w:hAnsi="黑体" w:eastAsia="黑体" w:cs="仿宋_GB2312"/>
          <w:bCs/>
          <w:sz w:val="28"/>
          <w:szCs w:val="28"/>
        </w:rPr>
        <w:t>教学指导委员会人员情况</w:t>
      </w:r>
    </w:p>
    <w:tbl>
      <w:tblPr>
        <w:tblStyle w:val="7"/>
        <w:tblW w:w="4870"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
        <w:gridCol w:w="688"/>
        <w:gridCol w:w="688"/>
        <w:gridCol w:w="687"/>
        <w:gridCol w:w="1160"/>
        <w:gridCol w:w="687"/>
        <w:gridCol w:w="757"/>
        <w:gridCol w:w="708"/>
        <w:gridCol w:w="1369"/>
        <w:gridCol w:w="760"/>
        <w:gridCol w:w="77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423" w:type="pct"/>
            <w:gridSpan w:val="2"/>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41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1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69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41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42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82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45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469"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83"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闫贤良</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1963</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主任委员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中国艺术科技研究所文化标准研究中心</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外校专家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王志敏</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1965</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北京电影学院</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外校专家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石民勇</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1966</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中国传媒大学计算机学院</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外校专家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王立群</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女</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1969</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副高级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北京市互动媒体艺术工程技术研究中心</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外校专家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丁刚毅</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1966</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北京理工大学图书馆馆长、软件学院院长</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外校专家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周星</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1958</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传媒与艺术实验中心主任</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校内专家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pct"/>
          <w:trHeight w:val="435" w:hRule="atLeast"/>
        </w:trPr>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7</w:t>
            </w:r>
          </w:p>
        </w:tc>
        <w:tc>
          <w:tcPr>
            <w:tcW w:w="41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肖向荣</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男</w:t>
            </w:r>
          </w:p>
        </w:tc>
        <w:tc>
          <w:tcPr>
            <w:tcW w:w="69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1973</w:t>
            </w:r>
          </w:p>
        </w:tc>
        <w:tc>
          <w:tcPr>
            <w:tcW w:w="41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正高级</w:t>
            </w:r>
          </w:p>
        </w:tc>
        <w:tc>
          <w:tcPr>
            <w:tcW w:w="4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委员</w:t>
            </w:r>
          </w:p>
        </w:tc>
        <w:tc>
          <w:tcPr>
            <w:tcW w:w="42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2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传媒与艺术实验中心副主任、艺术与传媒学院院长</w:t>
            </w:r>
          </w:p>
        </w:tc>
        <w:tc>
          <w:tcPr>
            <w:tcW w:w="458"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校内专家</w:t>
            </w:r>
          </w:p>
        </w:tc>
        <w:tc>
          <w:tcPr>
            <w:tcW w:w="469"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r>
    </w:tbl>
    <w:p>
      <w:pPr>
        <w:spacing w:before="163" w:beforeLines="50"/>
        <w:ind w:firstLine="480" w:firstLineChars="200"/>
        <w:rPr>
          <w:rFonts w:ascii="黑体" w:hAnsi="黑体" w:eastAsia="黑体"/>
          <w:b/>
          <w:bCs/>
          <w:sz w:val="32"/>
          <w:szCs w:val="32"/>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8"/>
        <w:tblW w:w="4903"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22"/>
        <w:gridCol w:w="3350"/>
        <w:gridCol w:w="1607"/>
        <w:gridCol w:w="1456"/>
        <w:gridCol w:w="11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7" w:hRule="atLeast"/>
          <w:jc w:val="center"/>
        </w:trPr>
        <w:tc>
          <w:tcPr>
            <w:tcW w:w="492" w:type="pct"/>
            <w:vMerge w:val="restart"/>
            <w:vAlign w:val="center"/>
          </w:tcPr>
          <w:p>
            <w:pPr>
              <w:jc w:val="center"/>
              <w:rPr>
                <w:rFonts w:ascii="黑体" w:hAnsi="黑体" w:eastAsia="黑体"/>
                <w:bCs/>
              </w:rPr>
            </w:pPr>
            <w:r>
              <w:rPr>
                <w:rFonts w:hint="eastAsia" w:ascii="黑体" w:hAnsi="黑体" w:eastAsia="黑体"/>
                <w:bCs/>
              </w:rPr>
              <w:t>序号</w:t>
            </w:r>
          </w:p>
        </w:tc>
        <w:tc>
          <w:tcPr>
            <w:tcW w:w="2968" w:type="pct"/>
            <w:gridSpan w:val="2"/>
            <w:vAlign w:val="center"/>
          </w:tcPr>
          <w:p>
            <w:pPr>
              <w:jc w:val="center"/>
              <w:rPr>
                <w:rFonts w:ascii="黑体" w:hAnsi="黑体" w:eastAsia="黑体"/>
                <w:bCs/>
              </w:rPr>
            </w:pPr>
            <w:r>
              <w:rPr>
                <w:rFonts w:hint="eastAsia" w:ascii="黑体" w:hAnsi="黑体" w:eastAsia="黑体"/>
                <w:bCs/>
              </w:rPr>
              <w:t>面向的专业</w:t>
            </w:r>
          </w:p>
        </w:tc>
        <w:tc>
          <w:tcPr>
            <w:tcW w:w="872" w:type="pct"/>
            <w:vMerge w:val="restart"/>
            <w:vAlign w:val="center"/>
          </w:tcPr>
          <w:p>
            <w:pPr>
              <w:jc w:val="center"/>
              <w:rPr>
                <w:rFonts w:ascii="黑体" w:hAnsi="黑体" w:eastAsia="黑体"/>
                <w:bCs/>
              </w:rPr>
            </w:pPr>
            <w:r>
              <w:rPr>
                <w:rFonts w:hint="eastAsia" w:ascii="黑体" w:hAnsi="黑体" w:eastAsia="黑体"/>
                <w:bCs/>
              </w:rPr>
              <w:t>学生人数</w:t>
            </w:r>
          </w:p>
        </w:tc>
        <w:tc>
          <w:tcPr>
            <w:tcW w:w="668" w:type="pct"/>
            <w:vMerge w:val="restart"/>
            <w:vAlign w:val="center"/>
          </w:tcPr>
          <w:p>
            <w:pPr>
              <w:jc w:val="center"/>
              <w:rPr>
                <w:rFonts w:ascii="黑体" w:hAnsi="黑体" w:eastAsia="黑体"/>
                <w:bCs/>
              </w:rPr>
            </w:pPr>
            <w:r>
              <w:rPr>
                <w:rFonts w:hint="eastAsia" w:ascii="黑体" w:hAnsi="黑体" w:eastAsia="黑体"/>
                <w:bCs/>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Merge w:val="continue"/>
          </w:tcPr>
          <w:p>
            <w:pPr>
              <w:rPr>
                <w:rFonts w:ascii="仿宋" w:hAnsi="仿宋" w:eastAsia="仿宋"/>
                <w:b/>
                <w:bCs/>
                <w:sz w:val="28"/>
                <w:szCs w:val="28"/>
              </w:rPr>
            </w:pPr>
          </w:p>
        </w:tc>
        <w:tc>
          <w:tcPr>
            <w:tcW w:w="2006" w:type="pct"/>
            <w:vAlign w:val="center"/>
          </w:tcPr>
          <w:p>
            <w:pPr>
              <w:jc w:val="center"/>
              <w:rPr>
                <w:rFonts w:ascii="黑体" w:hAnsi="黑体" w:eastAsia="黑体"/>
                <w:bCs/>
              </w:rPr>
            </w:pPr>
            <w:r>
              <w:rPr>
                <w:rFonts w:hint="eastAsia" w:ascii="黑体" w:hAnsi="黑体" w:eastAsia="黑体"/>
                <w:bCs/>
              </w:rPr>
              <w:t>专业名称</w:t>
            </w:r>
          </w:p>
        </w:tc>
        <w:tc>
          <w:tcPr>
            <w:tcW w:w="962" w:type="pct"/>
            <w:vAlign w:val="center"/>
          </w:tcPr>
          <w:p>
            <w:pPr>
              <w:jc w:val="center"/>
              <w:rPr>
                <w:rFonts w:ascii="黑体" w:hAnsi="黑体" w:eastAsia="黑体"/>
                <w:bCs/>
              </w:rPr>
            </w:pPr>
            <w:r>
              <w:rPr>
                <w:rFonts w:hint="eastAsia" w:ascii="黑体" w:hAnsi="黑体" w:eastAsia="黑体"/>
                <w:bCs/>
              </w:rPr>
              <w:t>年级</w:t>
            </w:r>
          </w:p>
        </w:tc>
        <w:tc>
          <w:tcPr>
            <w:tcW w:w="872" w:type="pct"/>
            <w:vMerge w:val="continue"/>
          </w:tcPr>
          <w:p>
            <w:pPr>
              <w:rPr>
                <w:rFonts w:ascii="仿宋" w:hAnsi="仿宋" w:eastAsia="仿宋"/>
                <w:b/>
                <w:bCs/>
                <w:sz w:val="28"/>
                <w:szCs w:val="28"/>
              </w:rPr>
            </w:pPr>
          </w:p>
        </w:tc>
        <w:tc>
          <w:tcPr>
            <w:tcW w:w="668" w:type="pct"/>
            <w:vMerge w:val="continue"/>
          </w:tcPr>
          <w:p>
            <w:pPr>
              <w:rPr>
                <w:rFonts w:ascii="仿宋" w:hAnsi="仿宋" w:eastAsia="仿宋"/>
                <w:b/>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戏剧与影视学</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124</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34学时/人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数字媒体</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59</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34学时/人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音乐</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107</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68学时/人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舞蹈</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111</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68学时/人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5</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美术与设计</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92</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68学时/人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6</w:t>
            </w:r>
          </w:p>
        </w:tc>
        <w:tc>
          <w:tcPr>
            <w:tcW w:w="2006"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书法</w:t>
            </w:r>
          </w:p>
        </w:tc>
        <w:tc>
          <w:tcPr>
            <w:tcW w:w="96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17-20级</w:t>
            </w:r>
          </w:p>
        </w:tc>
        <w:tc>
          <w:tcPr>
            <w:tcW w:w="872"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44</w:t>
            </w:r>
          </w:p>
        </w:tc>
        <w:tc>
          <w:tcPr>
            <w:tcW w:w="668"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68学时/人</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8"/>
        <w:tblW w:w="4904" w:type="pct"/>
        <w:tblInd w:w="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9"/>
        <w:gridCol w:w="3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实验项目资源总数</w:t>
            </w:r>
          </w:p>
        </w:tc>
        <w:tc>
          <w:tcPr>
            <w:tcW w:w="2366" w:type="pct"/>
          </w:tcPr>
          <w:p>
            <w:pPr>
              <w:jc w:val="right"/>
              <w:rPr>
                <w:rFonts w:hint="eastAsia" w:ascii="宋体" w:hAnsi="宋体" w:eastAsia="宋体" w:cs="宋体"/>
                <w:bCs/>
                <w:sz w:val="21"/>
                <w:szCs w:val="21"/>
              </w:rPr>
            </w:pPr>
            <w:r>
              <w:rPr>
                <w:rFonts w:hint="eastAsia" w:ascii="宋体" w:hAnsi="宋体" w:eastAsia="宋体" w:cs="宋体"/>
                <w:bCs/>
                <w:sz w:val="21"/>
                <w:szCs w:val="21"/>
              </w:rPr>
              <w:t>67个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年度开设实验项目数</w:t>
            </w:r>
          </w:p>
        </w:tc>
        <w:tc>
          <w:tcPr>
            <w:tcW w:w="2366" w:type="pct"/>
          </w:tcPr>
          <w:p>
            <w:pPr>
              <w:jc w:val="right"/>
              <w:rPr>
                <w:rFonts w:hint="eastAsia" w:ascii="宋体" w:hAnsi="宋体" w:eastAsia="宋体" w:cs="宋体"/>
                <w:bCs/>
                <w:sz w:val="21"/>
                <w:szCs w:val="21"/>
              </w:rPr>
            </w:pPr>
            <w:r>
              <w:rPr>
                <w:rFonts w:hint="eastAsia" w:ascii="宋体" w:hAnsi="宋体" w:eastAsia="宋体" w:cs="宋体"/>
                <w:bCs/>
                <w:sz w:val="21"/>
                <w:szCs w:val="21"/>
              </w:rPr>
              <w:t>19个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年度独立设课的实验课程</w:t>
            </w:r>
          </w:p>
        </w:tc>
        <w:tc>
          <w:tcPr>
            <w:tcW w:w="2366" w:type="pct"/>
          </w:tcPr>
          <w:p>
            <w:pPr>
              <w:jc w:val="right"/>
              <w:rPr>
                <w:rFonts w:hint="eastAsia" w:ascii="宋体" w:hAnsi="宋体" w:eastAsia="宋体" w:cs="宋体"/>
                <w:bCs/>
                <w:sz w:val="21"/>
                <w:szCs w:val="21"/>
              </w:rPr>
            </w:pPr>
            <w:r>
              <w:rPr>
                <w:rFonts w:hint="eastAsia" w:ascii="宋体" w:hAnsi="宋体" w:eastAsia="宋体" w:cs="宋体"/>
                <w:bCs/>
                <w:sz w:val="21"/>
                <w:szCs w:val="21"/>
                <w:lang w:val="en-US" w:eastAsia="zh-CN"/>
              </w:rPr>
              <w:t>27</w:t>
            </w:r>
            <w:r>
              <w:rPr>
                <w:rFonts w:hint="eastAsia" w:ascii="宋体" w:hAnsi="宋体" w:eastAsia="宋体" w:cs="宋体"/>
                <w:bCs/>
                <w:sz w:val="21"/>
                <w:szCs w:val="21"/>
              </w:rPr>
              <w:t>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实验教材总数</w:t>
            </w:r>
          </w:p>
        </w:tc>
        <w:tc>
          <w:tcPr>
            <w:tcW w:w="2366" w:type="pct"/>
          </w:tcPr>
          <w:p>
            <w:pPr>
              <w:jc w:val="right"/>
              <w:rPr>
                <w:rFonts w:hint="eastAsia" w:ascii="宋体" w:hAnsi="宋体" w:eastAsia="宋体" w:cs="宋体"/>
                <w:bCs/>
                <w:sz w:val="21"/>
                <w:szCs w:val="21"/>
              </w:rPr>
            </w:pPr>
            <w:r>
              <w:rPr>
                <w:rFonts w:hint="eastAsia" w:ascii="宋体" w:hAnsi="宋体" w:eastAsia="宋体" w:cs="宋体"/>
                <w:bCs/>
                <w:sz w:val="21"/>
                <w:szCs w:val="21"/>
                <w:lang w:val="en-US" w:eastAsia="zh-CN"/>
              </w:rPr>
              <w:t>9</w:t>
            </w:r>
            <w:r>
              <w:rPr>
                <w:rFonts w:hint="eastAsia" w:ascii="宋体" w:hAnsi="宋体" w:eastAsia="宋体" w:cs="宋体"/>
                <w:bCs/>
                <w:sz w:val="21"/>
                <w:szCs w:val="21"/>
              </w:rPr>
              <w:t>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年度新增实验教材</w:t>
            </w:r>
          </w:p>
        </w:tc>
        <w:tc>
          <w:tcPr>
            <w:tcW w:w="2366" w:type="pct"/>
          </w:tcPr>
          <w:p>
            <w:pPr>
              <w:jc w:val="right"/>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8"/>
        <w:tblW w:w="4897" w:type="pct"/>
        <w:tblInd w:w="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3"/>
        <w:gridCol w:w="39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2633" w:type="pct"/>
            <w:vAlign w:val="center"/>
          </w:tcPr>
          <w:p>
            <w:pPr>
              <w:jc w:val="center"/>
              <w:rPr>
                <w:rFonts w:ascii="黑体" w:hAnsi="黑体" w:eastAsia="黑体"/>
                <w:bCs/>
              </w:rPr>
            </w:pPr>
            <w:r>
              <w:rPr>
                <w:rFonts w:hint="eastAsia" w:ascii="黑体" w:hAnsi="黑体" w:eastAsia="黑体"/>
                <w:bCs/>
              </w:rPr>
              <w:t>学生获奖人数</w:t>
            </w:r>
          </w:p>
        </w:tc>
        <w:tc>
          <w:tcPr>
            <w:tcW w:w="2366" w:type="pct"/>
            <w:vAlign w:val="center"/>
          </w:tcPr>
          <w:p>
            <w:pPr>
              <w:jc w:val="right"/>
              <w:rPr>
                <w:rFonts w:hint="eastAsia" w:ascii="宋体" w:hAnsi="宋体" w:eastAsia="宋体" w:cs="宋体"/>
                <w:bCs/>
                <w:sz w:val="21"/>
                <w:szCs w:val="21"/>
              </w:rPr>
            </w:pPr>
            <w:r>
              <w:rPr>
                <w:rFonts w:hint="eastAsia" w:ascii="宋体" w:hAnsi="宋体" w:eastAsia="宋体" w:cs="宋体"/>
                <w:bCs/>
                <w:sz w:val="21"/>
                <w:szCs w:val="21"/>
                <w:lang w:val="en-US" w:eastAsia="zh-CN"/>
              </w:rPr>
              <w:t>151</w:t>
            </w:r>
            <w:r>
              <w:rPr>
                <w:rFonts w:hint="eastAsia" w:ascii="宋体" w:hAnsi="宋体" w:eastAsia="宋体" w:cs="宋体"/>
                <w:bCs/>
                <w:sz w:val="21"/>
                <w:szCs w:val="21"/>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rPr>
            </w:pPr>
            <w:r>
              <w:rPr>
                <w:rFonts w:hint="eastAsia" w:ascii="黑体" w:hAnsi="黑体" w:eastAsia="黑体"/>
                <w:bCs/>
              </w:rPr>
              <w:t>学生发表论文数</w:t>
            </w:r>
          </w:p>
        </w:tc>
        <w:tc>
          <w:tcPr>
            <w:tcW w:w="2366" w:type="pct"/>
            <w:vAlign w:val="center"/>
          </w:tcPr>
          <w:p>
            <w:pPr>
              <w:jc w:val="right"/>
              <w:rPr>
                <w:rFonts w:hint="eastAsia" w:ascii="宋体" w:hAnsi="宋体" w:eastAsia="宋体" w:cs="宋体"/>
                <w:bCs/>
                <w:sz w:val="21"/>
                <w:szCs w:val="21"/>
              </w:rPr>
            </w:pPr>
            <w:r>
              <w:rPr>
                <w:rFonts w:hint="eastAsia" w:ascii="宋体" w:hAnsi="宋体" w:eastAsia="宋体" w:cs="宋体"/>
                <w:bCs/>
                <w:sz w:val="21"/>
                <w:szCs w:val="21"/>
              </w:rPr>
              <w:t>79篇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rPr>
            </w:pPr>
            <w:r>
              <w:rPr>
                <w:rFonts w:hint="eastAsia" w:ascii="黑体" w:hAnsi="黑体" w:eastAsia="黑体"/>
                <w:bCs/>
              </w:rPr>
              <w:t>学生获得专利数</w:t>
            </w:r>
          </w:p>
        </w:tc>
        <w:tc>
          <w:tcPr>
            <w:tcW w:w="2366" w:type="pct"/>
            <w:vAlign w:val="center"/>
          </w:tcPr>
          <w:p>
            <w:pPr>
              <w:jc w:val="right"/>
              <w:rPr>
                <w:rFonts w:hint="eastAsia" w:ascii="宋体" w:hAnsi="宋体" w:eastAsia="宋体" w:cs="宋体"/>
                <w:bCs/>
                <w:sz w:val="21"/>
                <w:szCs w:val="21"/>
              </w:rPr>
            </w:pPr>
            <w:r>
              <w:rPr>
                <w:rFonts w:hint="eastAsia" w:ascii="宋体" w:hAnsi="宋体" w:eastAsia="宋体" w:cs="宋体"/>
                <w:bCs/>
                <w:sz w:val="21"/>
                <w:szCs w:val="21"/>
              </w:rPr>
              <w:t>0项</w:t>
            </w: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7"/>
        <w:tblW w:w="488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0"/>
        <w:gridCol w:w="2139"/>
        <w:gridCol w:w="1606"/>
        <w:gridCol w:w="424"/>
        <w:gridCol w:w="1271"/>
        <w:gridCol w:w="1192"/>
        <w:gridCol w:w="770"/>
        <w:gridCol w:w="4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64" w:type="pct"/>
            <w:vAlign w:val="center"/>
          </w:tcPr>
          <w:p>
            <w:pPr>
              <w:adjustRightInd w:val="0"/>
              <w:snapToGrid w:val="0"/>
              <w:jc w:val="center"/>
              <w:rPr>
                <w:rFonts w:ascii="黑体" w:hAnsi="黑体" w:eastAsia="黑体"/>
              </w:rPr>
            </w:pPr>
            <w:r>
              <w:rPr>
                <w:rFonts w:hint="eastAsia" w:ascii="黑体" w:hAnsi="黑体" w:eastAsia="黑体" w:cs="宋体"/>
              </w:rPr>
              <w:t>序号</w:t>
            </w:r>
          </w:p>
        </w:tc>
        <w:tc>
          <w:tcPr>
            <w:tcW w:w="1286" w:type="pct"/>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rPr>
            </w:pPr>
            <w:r>
              <w:rPr>
                <w:rFonts w:hint="eastAsia" w:ascii="黑体" w:hAnsi="黑体" w:eastAsia="黑体" w:cs="宋体"/>
              </w:rPr>
              <w:t>课题名称</w:t>
            </w:r>
          </w:p>
        </w:tc>
        <w:tc>
          <w:tcPr>
            <w:tcW w:w="965" w:type="pct"/>
            <w:vAlign w:val="center"/>
          </w:tcPr>
          <w:p>
            <w:pPr>
              <w:adjustRightInd w:val="0"/>
              <w:snapToGrid w:val="0"/>
              <w:jc w:val="center"/>
              <w:rPr>
                <w:rFonts w:ascii="黑体" w:hAnsi="黑体" w:eastAsia="黑体"/>
              </w:rPr>
            </w:pPr>
            <w:r>
              <w:rPr>
                <w:rFonts w:hint="eastAsia" w:ascii="黑体" w:hAnsi="黑体" w:eastAsia="黑体" w:cs="宋体"/>
              </w:rPr>
              <w:t>文号</w:t>
            </w:r>
          </w:p>
        </w:tc>
        <w:tc>
          <w:tcPr>
            <w:tcW w:w="254" w:type="pct"/>
            <w:vAlign w:val="center"/>
          </w:tcPr>
          <w:p>
            <w:pPr>
              <w:adjustRightInd w:val="0"/>
              <w:snapToGrid w:val="0"/>
              <w:jc w:val="center"/>
              <w:rPr>
                <w:rFonts w:ascii="黑体" w:hAnsi="黑体" w:eastAsia="黑体"/>
              </w:rPr>
            </w:pPr>
            <w:r>
              <w:rPr>
                <w:rFonts w:hint="eastAsia" w:ascii="黑体" w:hAnsi="黑体" w:eastAsia="黑体" w:cs="宋体"/>
              </w:rPr>
              <w:t>负责人</w:t>
            </w:r>
          </w:p>
        </w:tc>
        <w:tc>
          <w:tcPr>
            <w:tcW w:w="764" w:type="pct"/>
            <w:vAlign w:val="center"/>
          </w:tcPr>
          <w:p>
            <w:pPr>
              <w:adjustRightInd w:val="0"/>
              <w:snapToGrid w:val="0"/>
              <w:jc w:val="center"/>
              <w:rPr>
                <w:rFonts w:ascii="黑体" w:hAnsi="黑体" w:eastAsia="黑体"/>
              </w:rPr>
            </w:pPr>
            <w:r>
              <w:rPr>
                <w:rFonts w:hint="eastAsia" w:ascii="黑体" w:hAnsi="黑体" w:eastAsia="黑体" w:cs="宋体"/>
              </w:rPr>
              <w:t>参加人员</w:t>
            </w:r>
          </w:p>
        </w:tc>
        <w:tc>
          <w:tcPr>
            <w:tcW w:w="716" w:type="pct"/>
            <w:vAlign w:val="center"/>
          </w:tcPr>
          <w:p>
            <w:pPr>
              <w:adjustRightInd w:val="0"/>
              <w:snapToGrid w:val="0"/>
              <w:jc w:val="center"/>
              <w:rPr>
                <w:rFonts w:ascii="黑体" w:hAnsi="黑体" w:eastAsia="黑体"/>
              </w:rPr>
            </w:pPr>
            <w:r>
              <w:rPr>
                <w:rFonts w:hint="eastAsia" w:ascii="黑体" w:hAnsi="黑体" w:eastAsia="黑体" w:cs="宋体"/>
              </w:rPr>
              <w:t>起止时间</w:t>
            </w:r>
          </w:p>
        </w:tc>
        <w:tc>
          <w:tcPr>
            <w:tcW w:w="463" w:type="pct"/>
            <w:vAlign w:val="center"/>
          </w:tcPr>
          <w:p>
            <w:pPr>
              <w:adjustRightInd w:val="0"/>
              <w:snapToGrid w:val="0"/>
              <w:jc w:val="center"/>
              <w:rPr>
                <w:rFonts w:ascii="黑体" w:hAnsi="黑体" w:eastAsia="黑体"/>
              </w:rPr>
            </w:pPr>
            <w:r>
              <w:rPr>
                <w:rFonts w:hint="eastAsia" w:ascii="黑体" w:hAnsi="黑体" w:eastAsia="黑体" w:cs="宋体"/>
              </w:rPr>
              <w:t>经费（</w:t>
            </w:r>
            <w:r>
              <w:rPr>
                <w:rFonts w:hint="eastAsia" w:ascii="黑体" w:hAnsi="黑体" w:eastAsia="黑体" w:cs="仿宋_GB2312"/>
              </w:rPr>
              <w:t>万元</w:t>
            </w:r>
            <w:r>
              <w:rPr>
                <w:rFonts w:hint="eastAsia" w:ascii="黑体" w:hAnsi="黑体" w:eastAsia="黑体" w:cs="宋体"/>
              </w:rPr>
              <w:t>）</w:t>
            </w:r>
          </w:p>
        </w:tc>
        <w:tc>
          <w:tcPr>
            <w:tcW w:w="283" w:type="pct"/>
            <w:vAlign w:val="center"/>
          </w:tcPr>
          <w:p>
            <w:pPr>
              <w:adjustRightInd w:val="0"/>
              <w:snapToGrid w:val="0"/>
              <w:jc w:val="center"/>
              <w:rPr>
                <w:rFonts w:ascii="黑体" w:hAnsi="黑体" w:eastAsia="黑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28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戏剧与影视学专业教指委主任委员工作经费</w:t>
            </w:r>
          </w:p>
        </w:tc>
        <w:tc>
          <w:tcPr>
            <w:tcW w:w="965"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师教培养〔2020〕152号</w:t>
            </w:r>
          </w:p>
        </w:tc>
        <w:tc>
          <w:tcPr>
            <w:tcW w:w="254"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周星</w:t>
            </w:r>
          </w:p>
        </w:tc>
        <w:tc>
          <w:tcPr>
            <w:tcW w:w="7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张燕、任晟姝、陈亦水、王赟姝</w:t>
            </w:r>
          </w:p>
        </w:tc>
        <w:tc>
          <w:tcPr>
            <w:tcW w:w="716"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2020.11.30-2021.11.30</w:t>
            </w:r>
          </w:p>
        </w:tc>
        <w:tc>
          <w:tcPr>
            <w:tcW w:w="46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28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4"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28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电影艺术概论</w:t>
            </w:r>
          </w:p>
        </w:tc>
        <w:tc>
          <w:tcPr>
            <w:tcW w:w="965"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师教培养〔2020〕152号</w:t>
            </w:r>
          </w:p>
        </w:tc>
        <w:tc>
          <w:tcPr>
            <w:tcW w:w="254"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任晟姝</w:t>
            </w:r>
          </w:p>
        </w:tc>
        <w:tc>
          <w:tcPr>
            <w:tcW w:w="7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陈亦水、王赟姝</w:t>
            </w:r>
          </w:p>
        </w:tc>
        <w:tc>
          <w:tcPr>
            <w:tcW w:w="716"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2020</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r>
              <w:rPr>
                <w:rFonts w:hint="eastAsia" w:ascii="宋体" w:hAnsi="宋体" w:eastAsia="宋体" w:cs="宋体"/>
                <w:sz w:val="21"/>
                <w:szCs w:val="21"/>
                <w:lang w:val="en-US" w:eastAsia="zh-CN"/>
              </w:rPr>
              <w:t>-2021.12.22</w:t>
            </w:r>
          </w:p>
        </w:tc>
        <w:tc>
          <w:tcPr>
            <w:tcW w:w="46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28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28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中国传世名画鉴赏</w:t>
            </w:r>
          </w:p>
          <w:p>
            <w:pPr>
              <w:adjustRightInd w:val="0"/>
              <w:snapToGrid w:val="0"/>
              <w:jc w:val="left"/>
              <w:rPr>
                <w:rFonts w:hint="eastAsia" w:ascii="宋体" w:hAnsi="宋体" w:eastAsia="宋体" w:cs="宋体"/>
                <w:sz w:val="21"/>
                <w:szCs w:val="21"/>
              </w:rPr>
            </w:pPr>
          </w:p>
        </w:tc>
        <w:tc>
          <w:tcPr>
            <w:tcW w:w="1606"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师教培养〔2020〕152号</w:t>
            </w:r>
          </w:p>
        </w:tc>
        <w:tc>
          <w:tcPr>
            <w:tcW w:w="424"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王鹏</w:t>
            </w:r>
          </w:p>
        </w:tc>
        <w:tc>
          <w:tcPr>
            <w:tcW w:w="7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甄巍、熙方方</w:t>
            </w:r>
          </w:p>
        </w:tc>
        <w:tc>
          <w:tcPr>
            <w:tcW w:w="71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2020</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r>
              <w:rPr>
                <w:rFonts w:hint="eastAsia" w:ascii="宋体" w:hAnsi="宋体" w:eastAsia="宋体" w:cs="宋体"/>
                <w:sz w:val="21"/>
                <w:szCs w:val="21"/>
                <w:lang w:val="en-US" w:eastAsia="zh-CN"/>
              </w:rPr>
              <w:t>-</w:t>
            </w:r>
            <w:r>
              <w:rPr>
                <w:rFonts w:hint="eastAsia" w:ascii="宋体" w:hAnsi="宋体" w:eastAsia="宋体" w:cs="宋体"/>
                <w:sz w:val="21"/>
                <w:szCs w:val="21"/>
              </w:rPr>
              <w:t>2021</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p>
        </w:tc>
        <w:tc>
          <w:tcPr>
            <w:tcW w:w="770" w:type="dxa"/>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0.5</w:t>
            </w:r>
          </w:p>
        </w:tc>
        <w:tc>
          <w:tcPr>
            <w:tcW w:w="28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28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中国民族音乐作品鉴赏</w:t>
            </w:r>
          </w:p>
        </w:tc>
        <w:tc>
          <w:tcPr>
            <w:tcW w:w="1606"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师教培养〔2020〕152号</w:t>
            </w:r>
          </w:p>
        </w:tc>
        <w:tc>
          <w:tcPr>
            <w:tcW w:w="424"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张璐</w:t>
            </w:r>
          </w:p>
        </w:tc>
        <w:tc>
          <w:tcPr>
            <w:tcW w:w="7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张艺耀、胡帅</w:t>
            </w:r>
          </w:p>
        </w:tc>
        <w:tc>
          <w:tcPr>
            <w:tcW w:w="71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2020</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r>
              <w:rPr>
                <w:rFonts w:hint="eastAsia" w:ascii="宋体" w:hAnsi="宋体" w:eastAsia="宋体" w:cs="宋体"/>
                <w:sz w:val="21"/>
                <w:szCs w:val="21"/>
                <w:lang w:val="en-US" w:eastAsia="zh-CN"/>
              </w:rPr>
              <w:t>-</w:t>
            </w:r>
            <w:r>
              <w:rPr>
                <w:rFonts w:hint="eastAsia" w:ascii="宋体" w:hAnsi="宋体" w:eastAsia="宋体" w:cs="宋体"/>
                <w:sz w:val="21"/>
                <w:szCs w:val="21"/>
              </w:rPr>
              <w:t>2021</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p>
        </w:tc>
        <w:tc>
          <w:tcPr>
            <w:tcW w:w="770" w:type="dxa"/>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0.5</w:t>
            </w:r>
          </w:p>
        </w:tc>
        <w:tc>
          <w:tcPr>
            <w:tcW w:w="28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28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中国电影经典影片鉴赏</w:t>
            </w:r>
          </w:p>
        </w:tc>
        <w:tc>
          <w:tcPr>
            <w:tcW w:w="1606"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师教培养〔2020〕152号</w:t>
            </w:r>
          </w:p>
        </w:tc>
        <w:tc>
          <w:tcPr>
            <w:tcW w:w="424" w:type="dxa"/>
            <w:vAlign w:val="bottom"/>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周星</w:t>
            </w:r>
          </w:p>
        </w:tc>
        <w:tc>
          <w:tcPr>
            <w:tcW w:w="764"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张燕、任晟姝、陈亦水、王赟姝</w:t>
            </w:r>
          </w:p>
        </w:tc>
        <w:tc>
          <w:tcPr>
            <w:tcW w:w="716"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2020</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r>
              <w:rPr>
                <w:rFonts w:hint="eastAsia" w:ascii="宋体" w:hAnsi="宋体" w:eastAsia="宋体" w:cs="宋体"/>
                <w:sz w:val="21"/>
                <w:szCs w:val="21"/>
                <w:lang w:val="en-US" w:eastAsia="zh-CN"/>
              </w:rPr>
              <w:t>-</w:t>
            </w:r>
            <w:r>
              <w:rPr>
                <w:rFonts w:hint="eastAsia" w:ascii="宋体" w:hAnsi="宋体" w:eastAsia="宋体" w:cs="宋体"/>
                <w:sz w:val="21"/>
                <w:szCs w:val="21"/>
              </w:rPr>
              <w:t>2021</w:t>
            </w:r>
            <w:r>
              <w:rPr>
                <w:rFonts w:hint="eastAsia" w:ascii="宋体" w:hAnsi="宋体" w:eastAsia="宋体" w:cs="宋体"/>
                <w:sz w:val="21"/>
                <w:szCs w:val="21"/>
                <w:lang w:val="en-US" w:eastAsia="zh-CN"/>
              </w:rPr>
              <w:t>.</w:t>
            </w: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30</w:t>
            </w:r>
          </w:p>
        </w:tc>
        <w:tc>
          <w:tcPr>
            <w:tcW w:w="770" w:type="dxa"/>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0.5</w:t>
            </w:r>
          </w:p>
        </w:tc>
        <w:tc>
          <w:tcPr>
            <w:tcW w:w="283" w:type="pct"/>
            <w:vAlign w:val="center"/>
          </w:tcPr>
          <w:p>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此表填写省部级以上教学改革项目</w:t>
      </w:r>
      <w:r>
        <w:rPr>
          <w:rFonts w:hint="eastAsia" w:ascii="楷体" w:hAnsi="楷体" w:eastAsia="楷体"/>
          <w:bCs/>
        </w:rPr>
        <w:t>/</w:t>
      </w:r>
      <w:r>
        <w:rPr>
          <w:rFonts w:ascii="楷体" w:hAnsi="楷体" w:eastAsia="楷体"/>
          <w:bCs/>
        </w:rPr>
        <w:t>课题</w:t>
      </w:r>
      <w:r>
        <w:rPr>
          <w:rFonts w:hint="eastAsia" w:ascii="楷体" w:hAnsi="楷体" w:eastAsia="楷体"/>
          <w:bCs/>
        </w:rPr>
        <w:t>。</w:t>
      </w:r>
      <w:r>
        <w:rPr>
          <w:rFonts w:hint="eastAsia" w:ascii="楷体" w:hAnsi="楷体" w:eastAsia="楷体"/>
        </w:rPr>
        <w:t>（1）项目/课题</w:t>
      </w:r>
      <w:r>
        <w:rPr>
          <w:rFonts w:ascii="楷体" w:hAnsi="楷体" w:eastAsia="楷体"/>
          <w:bCs/>
        </w:rPr>
        <w:t>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w:t>
      </w:r>
      <w:r>
        <w:rPr>
          <w:rFonts w:ascii="楷体" w:hAnsi="楷体" w:eastAsia="楷体" w:cs="仿宋_GB2312"/>
        </w:rPr>
        <w:t>。</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类课题指以示范中心人员为第一负责人的课题；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cs="宋体"/>
          <w:sz w:val="28"/>
          <w:szCs w:val="28"/>
        </w:rPr>
        <w:t>（二）</w:t>
      </w:r>
      <w:r>
        <w:rPr>
          <w:rFonts w:hint="eastAsia" w:ascii="黑体" w:hAnsi="黑体" w:eastAsia="黑体" w:cs="仿宋_GB2312"/>
          <w:bCs/>
          <w:sz w:val="28"/>
          <w:szCs w:val="28"/>
        </w:rPr>
        <w:t>研究成果</w:t>
      </w:r>
    </w:p>
    <w:p>
      <w:pPr>
        <w:spacing w:before="163" w:beforeLines="50" w:after="163" w:afterLines="50"/>
        <w:ind w:firstLine="480" w:firstLineChars="200"/>
        <w:rPr>
          <w:rFonts w:ascii="黑体" w:hAnsi="黑体" w:eastAsia="黑体"/>
        </w:rPr>
      </w:pPr>
      <w:r>
        <w:rPr>
          <w:rFonts w:hint="eastAsia" w:ascii="黑体" w:hAnsi="黑体" w:eastAsia="黑体" w:cs="仿宋_GB2312"/>
        </w:rPr>
        <w:t>1.专利情况</w:t>
      </w:r>
    </w:p>
    <w:tbl>
      <w:tblPr>
        <w:tblStyle w:val="7"/>
        <w:tblW w:w="4873"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1475"/>
        <w:gridCol w:w="1776"/>
        <w:gridCol w:w="1477"/>
        <w:gridCol w:w="1173"/>
        <w:gridCol w:w="870"/>
        <w:gridCol w:w="7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456"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888" w:type="pct"/>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069" w:type="pct"/>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889" w:type="pct"/>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706" w:type="pct"/>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524"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65" w:type="pct"/>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888" w:type="pct"/>
          </w:tcPr>
          <w:p>
            <w:pPr>
              <w:tabs>
                <w:tab w:val="left" w:pos="589"/>
              </w:tabs>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影像艺术赏析虚拟仿真系统</w:t>
            </w:r>
          </w:p>
        </w:tc>
        <w:tc>
          <w:tcPr>
            <w:tcW w:w="1069"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07264427</w:t>
            </w:r>
          </w:p>
        </w:tc>
        <w:tc>
          <w:tcPr>
            <w:tcW w:w="889" w:type="pct"/>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w:t>
            </w:r>
          </w:p>
        </w:tc>
        <w:tc>
          <w:tcPr>
            <w:tcW w:w="706" w:type="pct"/>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王赟姝</w:t>
            </w:r>
          </w:p>
        </w:tc>
        <w:tc>
          <w:tcPr>
            <w:tcW w:w="524"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软件</w:t>
            </w:r>
          </w:p>
        </w:tc>
        <w:tc>
          <w:tcPr>
            <w:tcW w:w="465"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88"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艺术类实验教学课程五维评测系统</w:t>
            </w:r>
          </w:p>
        </w:tc>
        <w:tc>
          <w:tcPr>
            <w:tcW w:w="1069"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07264354</w:t>
            </w:r>
          </w:p>
        </w:tc>
        <w:tc>
          <w:tcPr>
            <w:tcW w:w="889"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中国</w:t>
            </w:r>
          </w:p>
        </w:tc>
        <w:tc>
          <w:tcPr>
            <w:tcW w:w="706"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王赟姝</w:t>
            </w:r>
          </w:p>
        </w:tc>
        <w:tc>
          <w:tcPr>
            <w:tcW w:w="524"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软件</w:t>
            </w:r>
          </w:p>
        </w:tc>
        <w:tc>
          <w:tcPr>
            <w:tcW w:w="465" w:type="pct"/>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合作完成-第一人</w:t>
            </w:r>
          </w:p>
        </w:tc>
      </w:tr>
    </w:tbl>
    <w:p>
      <w:pPr>
        <w:spacing w:before="163" w:beforeLines="50"/>
        <w:ind w:left="2" w:leftChars="1" w:firstLine="480" w:firstLineChars="200"/>
        <w:rPr>
          <w:rFonts w:ascii="楷体" w:hAnsi="楷体" w:eastAsia="楷体" w:cs="仿宋_GB2312"/>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firstLine="480" w:firstLineChars="200"/>
        <w:outlineLvl w:val="0"/>
        <w:rPr>
          <w:rFonts w:ascii="黑体" w:hAnsi="黑体" w:eastAsia="黑体" w:cs="仿宋_GB2312"/>
        </w:rPr>
      </w:pPr>
      <w:r>
        <w:rPr>
          <w:rFonts w:hint="eastAsia" w:ascii="黑体" w:hAnsi="黑体" w:eastAsia="黑体" w:cs="仿宋_GB2312"/>
        </w:rPr>
        <w:t>2.发表论文、专著情况</w:t>
      </w:r>
    </w:p>
    <w:tbl>
      <w:tblPr>
        <w:tblStyle w:val="7"/>
        <w:tblW w:w="4877"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2116"/>
        <w:gridCol w:w="982"/>
        <w:gridCol w:w="1502"/>
        <w:gridCol w:w="1467"/>
        <w:gridCol w:w="899"/>
        <w:gridCol w:w="7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75"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273" w:type="pct"/>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590" w:type="pct"/>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903" w:type="pct"/>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882" w:type="pct"/>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541"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32" w:type="pct"/>
            <w:vAlign w:val="center"/>
          </w:tcPr>
          <w:p>
            <w:pPr>
              <w:tabs>
                <w:tab w:val="left" w:pos="492"/>
              </w:tabs>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戏曲舞蹈身体语言论</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王熙</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中国国际广播出版社有限公司</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2021-12-23</w:t>
            </w:r>
          </w:p>
        </w:tc>
        <w:tc>
          <w:tcPr>
            <w:tcW w:w="541" w:type="pct"/>
            <w:vAlign w:val="center"/>
          </w:tcPr>
          <w:p>
            <w:pPr>
              <w:adjustRightInd w:val="0"/>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中文专著</w:t>
            </w: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专著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舞者笔记——跳舞人的那些事</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武萌</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五南图书出版公司</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2021-12-01</w:t>
            </w:r>
          </w:p>
        </w:tc>
        <w:tc>
          <w:tcPr>
            <w:tcW w:w="541"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中文专著</w:t>
            </w: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专著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同此凉热：当代中国电影艺术中的崇高美（1949-2019）</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陈亦水</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中国国际广播出版社</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2021-11-01</w:t>
            </w:r>
          </w:p>
        </w:tc>
        <w:tc>
          <w:tcPr>
            <w:tcW w:w="541"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中文专著</w:t>
            </w: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专著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视唱技巧针对性训练</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邸大鹏</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北京师范大学出版社</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2021-09-01</w:t>
            </w:r>
          </w:p>
        </w:tc>
        <w:tc>
          <w:tcPr>
            <w:tcW w:w="541" w:type="pct"/>
            <w:vAlign w:val="center"/>
          </w:tcPr>
          <w:p>
            <w:pPr>
              <w:adjustRightInd w:val="0"/>
              <w:snapToGrid w:val="0"/>
              <w:jc w:val="center"/>
              <w:rPr>
                <w:rFonts w:hint="eastAsia" w:ascii="宋体" w:hAnsi="宋体" w:eastAsia="宋体" w:cs="宋体"/>
                <w:sz w:val="21"/>
                <w:szCs w:val="21"/>
              </w:rPr>
            </w:pP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各类教材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亚洲电影蓝皮书（2019-2020）</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周星</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中央编译出版社</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2021-06-01</w:t>
            </w:r>
          </w:p>
        </w:tc>
        <w:tc>
          <w:tcPr>
            <w:tcW w:w="541" w:type="pct"/>
            <w:vAlign w:val="center"/>
          </w:tcPr>
          <w:p>
            <w:pPr>
              <w:adjustRightInd w:val="0"/>
              <w:snapToGrid w:val="0"/>
              <w:jc w:val="center"/>
              <w:rPr>
                <w:rFonts w:hint="eastAsia" w:ascii="宋体" w:hAnsi="宋体" w:eastAsia="宋体" w:cs="宋体"/>
                <w:sz w:val="21"/>
                <w:szCs w:val="21"/>
              </w:rPr>
            </w:pP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孩子的第一堂美育课</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周星</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中国水利电力出版社</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2021-05-01</w:t>
            </w:r>
          </w:p>
        </w:tc>
        <w:tc>
          <w:tcPr>
            <w:tcW w:w="541" w:type="pct"/>
            <w:vAlign w:val="center"/>
          </w:tcPr>
          <w:p>
            <w:pPr>
              <w:adjustRightInd w:val="0"/>
              <w:snapToGrid w:val="0"/>
              <w:jc w:val="center"/>
              <w:rPr>
                <w:rFonts w:hint="eastAsia" w:ascii="宋体" w:hAnsi="宋体" w:eastAsia="宋体" w:cs="宋体"/>
                <w:sz w:val="21"/>
                <w:szCs w:val="21"/>
              </w:rPr>
            </w:pPr>
          </w:p>
        </w:tc>
        <w:tc>
          <w:tcPr>
            <w:tcW w:w="432" w:type="pct"/>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少年影视德育通识教程</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周星</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北京师范大学出版社</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2021-04-01</w:t>
            </w:r>
          </w:p>
        </w:tc>
        <w:tc>
          <w:tcPr>
            <w:tcW w:w="541" w:type="pct"/>
            <w:vAlign w:val="center"/>
          </w:tcPr>
          <w:p>
            <w:pPr>
              <w:adjustRightInd w:val="0"/>
              <w:snapToGrid w:val="0"/>
              <w:jc w:val="center"/>
              <w:rPr>
                <w:rFonts w:hint="eastAsia" w:ascii="宋体" w:hAnsi="宋体" w:eastAsia="宋体" w:cs="宋体"/>
                <w:sz w:val="21"/>
                <w:szCs w:val="21"/>
              </w:rPr>
            </w:pP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普及著作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纪录片《滑板少年》中的镜头设计</w:t>
            </w:r>
          </w:p>
        </w:tc>
        <w:tc>
          <w:tcPr>
            <w:tcW w:w="59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侯海涛</w:t>
            </w:r>
          </w:p>
        </w:tc>
        <w:tc>
          <w:tcPr>
            <w:tcW w:w="90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视听理论与实践</w:t>
            </w:r>
          </w:p>
        </w:tc>
        <w:tc>
          <w:tcPr>
            <w:tcW w:w="88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2021-12-25</w:t>
            </w:r>
          </w:p>
        </w:tc>
        <w:tc>
          <w:tcPr>
            <w:tcW w:w="541" w:type="pct"/>
            <w:vAlign w:val="center"/>
          </w:tcPr>
          <w:p>
            <w:pPr>
              <w:adjustRightInd w:val="0"/>
              <w:snapToGrid w:val="0"/>
              <w:jc w:val="center"/>
              <w:rPr>
                <w:rFonts w:hint="eastAsia" w:ascii="宋体" w:hAnsi="宋体" w:eastAsia="宋体" w:cs="宋体"/>
                <w:sz w:val="21"/>
                <w:szCs w:val="21"/>
              </w:rPr>
            </w:pPr>
          </w:p>
        </w:tc>
        <w:tc>
          <w:tcPr>
            <w:tcW w:w="432"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27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误杀、布杀与不杀：一场域外到内心搏击的生死之战-电影《误杀2》分析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中国艺术报</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2021-12-21</w:t>
            </w:r>
          </w:p>
        </w:tc>
        <w:tc>
          <w:tcPr>
            <w:tcW w:w="541" w:type="pct"/>
            <w:vAlign w:val="center"/>
          </w:tcPr>
          <w:p>
            <w:pPr>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73" w:type="pct"/>
            <w:vAlign w:val="bottom"/>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《中国职业舞者表演“流畅状态”分析》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叶波</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北京舞蹈学院学报</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2021-12-17</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273" w:type="pct"/>
            <w:vAlign w:val="bottom"/>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讲好新时代中国音乐故事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文化产业</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2021-12-15</w:t>
            </w:r>
          </w:p>
        </w:tc>
        <w:tc>
          <w:tcPr>
            <w:tcW w:w="541" w:type="pct"/>
            <w:vAlign w:val="center"/>
          </w:tcPr>
          <w:p>
            <w:pPr>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273" w:type="pct"/>
            <w:vAlign w:val="bottom"/>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《芳香之旅系列—席慕容的草原》《醉舞中华》《雾都记一个人的北京》</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艺术学研究</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ISSHP(CPCI-SSH)</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1273" w:type="pct"/>
            <w:vAlign w:val="bottom"/>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全民美育视角下中国画教学与社会传播实践——以慕课“中国传世名画鉴赏”课程设计为例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中国美术</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A&amp;HCI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1273" w:type="pct"/>
            <w:vAlign w:val="bottom"/>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燕赵民间舞蹈的审美文化“修辞性”研究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内蒙古艺术学院学报</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2021-12-15</w:t>
            </w:r>
          </w:p>
        </w:tc>
        <w:tc>
          <w:tcPr>
            <w:tcW w:w="541" w:type="pct"/>
            <w:vAlign w:val="center"/>
          </w:tcPr>
          <w:p>
            <w:pPr>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讲好新时代中国音乐故事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文化产业</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2021-12-15</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《虚拟现实电影的用户体验研究——基于生理数据的对比分析》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丁妮</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现代电影技术</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2021-12-11</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周星、王一川对谈：艺术审美、艺术批评与艺术理论阐释的独特创造</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2021-12-10</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解读马帮文化艺术</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2021-12-10</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19</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新文科建设视域下的舞蹈艺术文化素养</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《中国艺术学年鉴2019~2021》</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新文科建设语境中戏剧影视学学科建设的得失与改进</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新文科与新技术</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21</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2021年中国电影：马鞍形起伏与国庆档价值</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视听理论与实践</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非物质的物质呈现：电影艺术中数字信息的媒介化再现</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当代电影</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23</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试论高校美育实践的创新路径——以北京大学生电影节为例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美育</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戏曲舞台形象在中国古典舞教学中的重构方式</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王熙</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北京舞蹈学院学报</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2021-12-01</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信仰之光照耀创作之路——从庆祝中国共产党建党100周年文艺创作谈起</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2021-11-30</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用电影传递青年人的信仰与精神力量——在北京国际电影节·第28届大学生电影节上的致辞</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2021-11-30</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27</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从电影节中的音乐奖项看中国电影音乐的创新与发展</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2021-11-30</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127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论王诗英戏曲身段教学的理念与成就</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王熙</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戏曲艺术</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2021-11-30</w:t>
            </w:r>
          </w:p>
        </w:tc>
        <w:tc>
          <w:tcPr>
            <w:tcW w:w="541"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当代舞技术训练在少儿舞蹈作品呈现中的价值体现</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张荪</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舞蹈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2021-11-11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序言：《世界经典海洋电影赏析》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《世界经典海洋电影赏析》</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2021-11-01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书评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混音中压缩效果器的运用处理</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邸大鹏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艺术大观</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2021-11-01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全球化与中国网络剧的传统文化消费</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王兰侠</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2021-11-01</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家庭内外：女性题材影片应具备更宏大的创作视野</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中国妇女报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2021-10-19</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用工笔画描绘诗意、理想与青春</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书画世界</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2021-10-15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ISSHP(CPCI-SSH)</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论建党百年视野下的中国电影四次高潮</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粤海风</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20世纪音乐理念在中国现代古筝作品创作中的运用--以《太阳的影子IV》为例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邸大鹏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2021-10-08</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《粮油食品科技》期刊装帧设计</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熙方方</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科技与出版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2021-10-04</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一带一路文化事业中的中国电影文化辨识度意义</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合作共赢一带一路文化艺术交流研究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剧作探索：一个骑梦想不断攀登实践的编导者</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新编杂技剧本集</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2021-10-01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书评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建党百年视野下的中国电影高潮论析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南京师范大学文学院学报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2021-09-30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危害与管控：反思饭圈文化</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中国社会科学报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2021-09-29</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以理性之爱为成长发电</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中国教育报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2021-09-25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建党百年与改革开放初期中国电影发展探析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中原文化研究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2021-09-23</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五大观念认知：一种文艺评论的新方向</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艺术评论</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2021-09-20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地缘文化背景下的区域影像思考</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电影理论研究（中英文</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2021-09-10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塑造刚毅果决凛然正气的男性形象</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文艺报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2021-09-05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新文科视野下“线上线下混合式课程”建设经验梳理——以北京师范大学中国电影经典影片鉴赏课程为例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2021-09-01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价值观、本土标准、新主流创造呈现——建党百年视阈中的中国电影成就</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艺苑</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2021-08-20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周星、李锦云对谈：新文科背景下的艺术与传媒教育</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2021-08-10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沉浸感与360度全景视域：VR全景叙事探究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周雯</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当代电影</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2021-08-05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内容、思维、破圈：新媒体语境下电影音乐的传播逻辑</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2021-08-01</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表达青春之创意，回应时代之命题</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光明日报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2021-07-20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建党百年视阈：中国电影第四次高潮论辩</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2021-07-15</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新文科建设背景下传媒艺术理论建构的特色与意义</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现代传播(中国传媒大学学报)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2021-07-15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以音乐剧《往事歌谣》为背景——探析王洛宾给予当下青年的启示</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张艺耀</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艺术品鉴</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周星、刘伟冬对谈：综合性艺术院校发展之路与综合性素养的趣味追求</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2021-07-10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主流电影的嬗变——写在建党百年之际</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广州大学学报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2021-07-06</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中国共产党百年文艺实践品格与价值追寻</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中国艺术报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2021-07-05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五个“新”阶段:中国共产党成立百年历史中的中国电影发展</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民族艺术研究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2021-06-25</w:t>
            </w:r>
          </w:p>
        </w:tc>
        <w:tc>
          <w:tcPr>
            <w:tcW w:w="541" w:type="pct"/>
            <w:vAlign w:val="bottom"/>
          </w:tcPr>
          <w:p>
            <w:pPr>
              <w:jc w:val="left"/>
              <w:rPr>
                <w:rFonts w:hint="default"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《寻汉计》：京味文化银幕表达的创新与探索</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电影艺术</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2021-06-17</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中国神话/奇幻电影的历史溯源与当下景观</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齐鲁艺苑</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银幕上的崇高客体：当代中国电影中的崇高审美文化流变</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艺术学研究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2020年中国艺术教育年度报告—小学篇</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艺术评论</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2021-06-10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基于中国音乐类综艺节目现状的创新路径研究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中国电视</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2021-06-10</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红色青春的时代书写：建国以来青年共产党员形象的影像建构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南京师范大学文学院学报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时代报告剧的多元价值取向探析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王兰侠</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当代电视</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媒介生态变革下中国电影明星新兴力量的发展与反思</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电影新作</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2021-06-01</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全国中小学影视教育对策研究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2021-06-01</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2020年中国数字游戏研究述评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何威</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文艺理论与批评</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2021-06-01</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罗艺军：人格形象与民族化电影批评理论的执念者</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中国社会科学报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2021-05-26</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“后疫情时代”下的音乐产业探析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艺术评鉴</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中国共产党建党百年与中国电影核心价值观的呈现</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艺术百家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后疫情时代下的音乐产业探析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艺术评鉴</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先验的崇高主体——“十七年”电影中党员形象的审美形态与文化表达</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贵州大学学报(艺术版)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诗意葱茏的艺术审美创造思路——关于美术院校、美术创作与审美文化的对谈</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2021-05-10</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以美育人：从美育教学实践谈起</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张璐</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学习强国</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2021-05-10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报刊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2020年中国电影热点现象述评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民族艺术研究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2021-05-06</w:t>
            </w:r>
          </w:p>
        </w:tc>
        <w:tc>
          <w:tcPr>
            <w:tcW w:w="541" w:type="pct"/>
            <w:vAlign w:val="bottom"/>
          </w:tcPr>
          <w:p>
            <w:pPr>
              <w:jc w:val="left"/>
              <w:rPr>
                <w:rFonts w:hint="default"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新中国电影工业化意识的历史脉络</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陈刚</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当代电影</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新时代美育视野下的中小学美术教师素质要求</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甄巍</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2021-05-01</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序言：刘涛《视觉修辞学》</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《视觉修辞学》</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书评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81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中国网络剧二十载：青年亚文化之网络荧屏投射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王兰侠</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2021-05-01</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82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疫情之下电影节展的创新模式探索——以第27届大学生电影节为例</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2021-05-01</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83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后疫情时代中小学美术与书法艺术教育改革研究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2021-05-01</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视野、圈层、美感：三重关系认知中国电影发展</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视听理论与实践</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2021-04-25</w:t>
            </w:r>
          </w:p>
        </w:tc>
        <w:tc>
          <w:tcPr>
            <w:tcW w:w="541" w:type="pct"/>
            <w:vAlign w:val="center"/>
          </w:tcPr>
          <w:p>
            <w:pPr>
              <w:jc w:val="center"/>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2020年度中国网络电影行业观察</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电影新作</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2021-04-25</w:t>
            </w:r>
          </w:p>
        </w:tc>
        <w:tc>
          <w:tcPr>
            <w:tcW w:w="541" w:type="pct"/>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多元智能理论视角下的北京小学音乐教育现状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2021-04-15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2020年中国纪录片产业观察</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樊启鹏</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电影艺术</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2021-04-09</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审美三题：从中国视角审视美育的审美观念认知</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美育双年文选2017-2018</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集刊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综合性大学舞蹈专业整合式教学理念初探</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王杰</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北京舞蹈学院学报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2021-04-01</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《舞蹈训练中与动作学习关联的神经结构》——观看、构想、践行</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叶波</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心理学进展</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2021-03-23</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ISSHP(CPCI-SSH)</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对当代中国电影三个前沿理论构架的评述</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艺术评论</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2021-03-20</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新媒体视觉文化中的中国民族音乐跨文化传播策略</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肖艳</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艺术传播</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2021-03-15</w:t>
            </w:r>
          </w:p>
        </w:tc>
        <w:tc>
          <w:tcPr>
            <w:tcW w:w="541"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美术教育的思路与专业性美术院校的发展之路——关于四川美术学院发展建设思路的访谈</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2021-03-10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《缉魂》:杂糅与缉捕魂灵</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电影艺术</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2021-03-05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寻找类型表达与美学追求之间的平衡——与杜杰谈《唐人街探案3》的摄影创作</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陈刚</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电影艺术</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2021-03-05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津贴期刊,CSSCI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 Study on the relevance of Nuo culture in Hunan Flower Drum Opera</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武萌</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大韩舞蹈学会</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2021-03-01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当下青少年艺术教育现实考察和发展思考</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四川戏剧</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2021-02-25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面向当下：多元格局的电影教育面面观</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电影新作</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2021-02-25</w:t>
            </w:r>
          </w:p>
        </w:tc>
        <w:tc>
          <w:tcPr>
            <w:tcW w:w="541" w:type="pct"/>
            <w:vAlign w:val="bottom"/>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2020年中国艺术状况考察综论</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艺苑</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2021-02-20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新文科建设：创设时尚和艺术“艺工融合”的优势</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艺术设计研究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2021-02-15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中国分账网络电影和网络剧的发展</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王兰侠</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2021-02-15</w:t>
            </w:r>
          </w:p>
        </w:tc>
        <w:tc>
          <w:tcPr>
            <w:tcW w:w="541" w:type="pct"/>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中国影像：超级英雄创造的思考</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西北师大学报</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2021-02-05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 年中国美术热点现象述评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甄巍</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民族艺术研究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2021-02-01</w:t>
            </w:r>
          </w:p>
        </w:tc>
        <w:tc>
          <w:tcPr>
            <w:tcW w:w="541" w:type="pct"/>
            <w:vAlign w:val="center"/>
          </w:tcPr>
          <w:p>
            <w:pPr>
              <w:jc w:val="center"/>
              <w:rPr>
                <w:rFonts w:hint="default"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2020年中国戏剧热点现象述评</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任晟姝</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民族艺术研究</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2021-02-01</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105</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中国数字游戏对外传播的现状、路径与思考</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何威</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对外传播</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2021-02-01</w:t>
            </w:r>
          </w:p>
        </w:tc>
        <w:tc>
          <w:tcPr>
            <w:tcW w:w="541" w:type="pct"/>
            <w:vAlign w:val="center"/>
          </w:tcPr>
          <w:p>
            <w:pPr>
              <w:jc w:val="center"/>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106</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中国乐派创建与中国音乐本土价值观倡导</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中国音乐</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2021-01-18</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CSSCI集刊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107</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互联网时代文艺评论的再思考</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浙江师范大学学报(社会科学版)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108</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新文科视野下的戏剧与影视学类专业、学科与课程建设</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浙江师范大学学报(社会科学版)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后抗疫时代:开启戏剧与影视学科的新文科建设景观</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浙江师范大学学报(社会科学版)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2021-01-15</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2020年度中国电影导演艺术创作分析</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陈刚</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电影评介</w:t>
            </w:r>
          </w:p>
        </w:tc>
        <w:tc>
          <w:tcPr>
            <w:tcW w:w="882"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2021-01-15</w:t>
            </w:r>
          </w:p>
        </w:tc>
        <w:tc>
          <w:tcPr>
            <w:tcW w:w="541"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北京大学中文核心期刊</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111</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以中国智慧推动中国艺术教育发展—周星、胡智峰关于艺术教育的高端对话</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艺术教育</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2021-01-10</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数字电影的“超级真实主义”美学探索</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陈亦水</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电影艺术</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2021-01-05</w:t>
            </w:r>
          </w:p>
        </w:tc>
        <w:tc>
          <w:tcPr>
            <w:tcW w:w="541"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CSSCI</w:t>
            </w: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113</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粤港澳大湾区影视的历史与现状</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广州大学学报(社会科学版)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bottom"/>
          </w:tcPr>
          <w:p>
            <w:pPr>
              <w:keepNext w:val="0"/>
              <w:keepLines w:val="0"/>
              <w:widowControl/>
              <w:suppressLineNumbers w:val="0"/>
              <w:jc w:val="left"/>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学术期刊论文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114</w:t>
            </w:r>
          </w:p>
        </w:tc>
        <w:tc>
          <w:tcPr>
            <w:tcW w:w="1273" w:type="pct"/>
            <w:vAlign w:val="bottom"/>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序言：一本独特对象的独特性研究成果</w:t>
            </w:r>
          </w:p>
        </w:tc>
        <w:tc>
          <w:tcPr>
            <w:tcW w:w="590"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90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广州大学学报(社会科学版)</w:t>
            </w:r>
          </w:p>
        </w:tc>
        <w:tc>
          <w:tcPr>
            <w:tcW w:w="88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2021-01-01</w:t>
            </w:r>
          </w:p>
        </w:tc>
        <w:tc>
          <w:tcPr>
            <w:tcW w:w="541" w:type="pct"/>
            <w:vAlign w:val="bottom"/>
          </w:tcPr>
          <w:p>
            <w:pPr>
              <w:jc w:val="left"/>
              <w:rPr>
                <w:rFonts w:hint="eastAsia" w:ascii="宋体" w:hAnsi="宋体" w:eastAsia="宋体" w:cs="宋体"/>
                <w:sz w:val="21"/>
                <w:szCs w:val="21"/>
                <w:lang w:val="en-US" w:eastAsia="zh-CN"/>
              </w:rPr>
            </w:pPr>
          </w:p>
        </w:tc>
        <w:tc>
          <w:tcPr>
            <w:tcW w:w="432" w:type="pct"/>
            <w:vAlign w:val="center"/>
          </w:tcPr>
          <w:p>
            <w:pPr>
              <w:keepNext w:val="0"/>
              <w:keepLines w:val="0"/>
              <w:widowControl/>
              <w:suppressLineNumbers w:val="0"/>
              <w:jc w:val="center"/>
              <w:textAlignment w:val="bottom"/>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书评</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ind w:firstLine="480" w:firstLineChars="200"/>
        <w:outlineLvl w:val="0"/>
        <w:rPr>
          <w:rFonts w:ascii="黑体" w:hAnsi="黑体" w:eastAsia="黑体"/>
        </w:rPr>
      </w:pPr>
      <w:r>
        <w:rPr>
          <w:rFonts w:hint="eastAsia" w:ascii="黑体" w:hAnsi="黑体" w:eastAsia="黑体" w:cs="仿宋_GB2312"/>
        </w:rPr>
        <w:t>3.仪器设备的研制和改装情况</w:t>
      </w:r>
    </w:p>
    <w:tbl>
      <w:tblPr>
        <w:tblStyle w:val="7"/>
        <w:tblW w:w="4874"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173"/>
        <w:gridCol w:w="1219"/>
        <w:gridCol w:w="1324"/>
        <w:gridCol w:w="2072"/>
        <w:gridCol w:w="1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352"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706" w:type="pct"/>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734" w:type="pct"/>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797" w:type="pct"/>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247" w:type="pct"/>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161" w:type="pct"/>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ascii="楷体" w:hAnsi="楷体" w:eastAsia="楷体"/>
              </w:rPr>
            </w:pPr>
          </w:p>
        </w:tc>
        <w:tc>
          <w:tcPr>
            <w:tcW w:w="706" w:type="pct"/>
            <w:vAlign w:val="center"/>
          </w:tcPr>
          <w:p>
            <w:pPr>
              <w:adjustRightInd w:val="0"/>
              <w:snapToGrid w:val="0"/>
              <w:jc w:val="center"/>
              <w:rPr>
                <w:rFonts w:ascii="楷体" w:hAnsi="楷体" w:eastAsia="楷体"/>
              </w:rPr>
            </w:pPr>
            <w:r>
              <w:rPr>
                <w:rFonts w:hint="eastAsia" w:ascii="楷体" w:hAnsi="楷体" w:eastAsia="楷体"/>
              </w:rPr>
              <w:t>无</w:t>
            </w:r>
          </w:p>
        </w:tc>
        <w:tc>
          <w:tcPr>
            <w:tcW w:w="734" w:type="pct"/>
            <w:vAlign w:val="center"/>
          </w:tcPr>
          <w:p>
            <w:pPr>
              <w:adjustRightInd w:val="0"/>
              <w:snapToGrid w:val="0"/>
              <w:jc w:val="center"/>
              <w:rPr>
                <w:rFonts w:ascii="楷体" w:hAnsi="楷体" w:eastAsia="楷体"/>
              </w:rPr>
            </w:pPr>
          </w:p>
        </w:tc>
        <w:tc>
          <w:tcPr>
            <w:tcW w:w="797" w:type="pct"/>
            <w:vAlign w:val="center"/>
          </w:tcPr>
          <w:p>
            <w:pPr>
              <w:adjustRightInd w:val="0"/>
              <w:snapToGrid w:val="0"/>
              <w:jc w:val="center"/>
              <w:rPr>
                <w:rFonts w:ascii="楷体" w:hAnsi="楷体" w:eastAsia="楷体"/>
              </w:rPr>
            </w:pPr>
          </w:p>
        </w:tc>
        <w:tc>
          <w:tcPr>
            <w:tcW w:w="1247" w:type="pct"/>
            <w:vAlign w:val="center"/>
          </w:tcPr>
          <w:p>
            <w:pPr>
              <w:adjustRightInd w:val="0"/>
              <w:snapToGrid w:val="0"/>
              <w:jc w:val="center"/>
              <w:rPr>
                <w:rFonts w:ascii="楷体" w:hAnsi="楷体" w:eastAsia="楷体"/>
              </w:rPr>
            </w:pPr>
          </w:p>
        </w:tc>
        <w:tc>
          <w:tcPr>
            <w:tcW w:w="1161" w:type="pct"/>
            <w:vAlign w:val="center"/>
          </w:tcPr>
          <w:p>
            <w:pPr>
              <w:adjustRightInd w:val="0"/>
              <w:snapToGrid w:val="0"/>
              <w:jc w:val="center"/>
              <w:rPr>
                <w:rFonts w:ascii="楷体" w:hAnsi="楷体" w:eastAsia="楷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ascii="楷体" w:hAnsi="楷体" w:eastAsia="楷体"/>
              </w:rPr>
            </w:pPr>
          </w:p>
        </w:tc>
        <w:tc>
          <w:tcPr>
            <w:tcW w:w="706" w:type="pct"/>
            <w:vAlign w:val="center"/>
          </w:tcPr>
          <w:p>
            <w:pPr>
              <w:adjustRightInd w:val="0"/>
              <w:snapToGrid w:val="0"/>
              <w:jc w:val="center"/>
              <w:rPr>
                <w:rFonts w:ascii="楷体" w:hAnsi="楷体" w:eastAsia="楷体"/>
              </w:rPr>
            </w:pPr>
          </w:p>
        </w:tc>
        <w:tc>
          <w:tcPr>
            <w:tcW w:w="734" w:type="pct"/>
            <w:vAlign w:val="center"/>
          </w:tcPr>
          <w:p>
            <w:pPr>
              <w:adjustRightInd w:val="0"/>
              <w:snapToGrid w:val="0"/>
              <w:jc w:val="center"/>
              <w:rPr>
                <w:rFonts w:ascii="楷体" w:hAnsi="楷体" w:eastAsia="楷体"/>
              </w:rPr>
            </w:pPr>
          </w:p>
        </w:tc>
        <w:tc>
          <w:tcPr>
            <w:tcW w:w="797" w:type="pct"/>
            <w:vAlign w:val="center"/>
          </w:tcPr>
          <w:p>
            <w:pPr>
              <w:adjustRightInd w:val="0"/>
              <w:snapToGrid w:val="0"/>
              <w:jc w:val="center"/>
              <w:rPr>
                <w:rFonts w:ascii="楷体" w:hAnsi="楷体" w:eastAsia="楷体"/>
              </w:rPr>
            </w:pPr>
          </w:p>
        </w:tc>
        <w:tc>
          <w:tcPr>
            <w:tcW w:w="1247" w:type="pct"/>
            <w:vAlign w:val="center"/>
          </w:tcPr>
          <w:p>
            <w:pPr>
              <w:adjustRightInd w:val="0"/>
              <w:snapToGrid w:val="0"/>
              <w:jc w:val="center"/>
              <w:rPr>
                <w:rFonts w:ascii="楷体" w:hAnsi="楷体" w:eastAsia="楷体"/>
              </w:rPr>
            </w:pPr>
          </w:p>
        </w:tc>
        <w:tc>
          <w:tcPr>
            <w:tcW w:w="1161" w:type="pct"/>
            <w:vAlign w:val="center"/>
          </w:tcPr>
          <w:p>
            <w:pPr>
              <w:adjustRightInd w:val="0"/>
              <w:snapToGrid w:val="0"/>
              <w:jc w:val="center"/>
              <w:rPr>
                <w:rFonts w:ascii="楷体" w:hAnsi="楷体" w:eastAsia="楷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ascii="楷体" w:hAnsi="楷体" w:eastAsia="楷体"/>
              </w:rPr>
            </w:pPr>
          </w:p>
        </w:tc>
        <w:tc>
          <w:tcPr>
            <w:tcW w:w="706" w:type="pct"/>
            <w:vAlign w:val="center"/>
          </w:tcPr>
          <w:p>
            <w:pPr>
              <w:adjustRightInd w:val="0"/>
              <w:snapToGrid w:val="0"/>
              <w:jc w:val="center"/>
              <w:rPr>
                <w:rFonts w:ascii="楷体" w:hAnsi="楷体" w:eastAsia="楷体"/>
              </w:rPr>
            </w:pPr>
          </w:p>
        </w:tc>
        <w:tc>
          <w:tcPr>
            <w:tcW w:w="734" w:type="pct"/>
            <w:vAlign w:val="center"/>
          </w:tcPr>
          <w:p>
            <w:pPr>
              <w:adjustRightInd w:val="0"/>
              <w:snapToGrid w:val="0"/>
              <w:jc w:val="center"/>
              <w:rPr>
                <w:rFonts w:ascii="楷体" w:hAnsi="楷体" w:eastAsia="楷体"/>
              </w:rPr>
            </w:pPr>
          </w:p>
        </w:tc>
        <w:tc>
          <w:tcPr>
            <w:tcW w:w="797" w:type="pct"/>
            <w:vAlign w:val="center"/>
          </w:tcPr>
          <w:p>
            <w:pPr>
              <w:adjustRightInd w:val="0"/>
              <w:snapToGrid w:val="0"/>
              <w:jc w:val="center"/>
              <w:rPr>
                <w:rFonts w:ascii="楷体" w:hAnsi="楷体" w:eastAsia="楷体"/>
              </w:rPr>
            </w:pPr>
          </w:p>
        </w:tc>
        <w:tc>
          <w:tcPr>
            <w:tcW w:w="1247" w:type="pct"/>
            <w:vAlign w:val="center"/>
          </w:tcPr>
          <w:p>
            <w:pPr>
              <w:adjustRightInd w:val="0"/>
              <w:snapToGrid w:val="0"/>
              <w:jc w:val="center"/>
              <w:rPr>
                <w:rFonts w:ascii="楷体" w:hAnsi="楷体" w:eastAsia="楷体"/>
              </w:rPr>
            </w:pPr>
          </w:p>
        </w:tc>
        <w:tc>
          <w:tcPr>
            <w:tcW w:w="1161" w:type="pct"/>
            <w:vAlign w:val="center"/>
          </w:tcPr>
          <w:p>
            <w:pPr>
              <w:adjustRightInd w:val="0"/>
              <w:snapToGrid w:val="0"/>
              <w:jc w:val="center"/>
              <w:rPr>
                <w:rFonts w:ascii="楷体" w:hAnsi="楷体" w:eastAsia="楷体"/>
              </w:rPr>
            </w:pP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4.其它成果情况</w:t>
      </w:r>
    </w:p>
    <w:tbl>
      <w:tblPr>
        <w:tblStyle w:val="7"/>
        <w:tblW w:w="4874"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52"/>
        <w:gridCol w:w="38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2318" w:type="pct"/>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国内会议论文数</w:t>
            </w:r>
          </w:p>
        </w:tc>
        <w:tc>
          <w:tcPr>
            <w:tcW w:w="2318" w:type="pct"/>
            <w:vAlign w:val="center"/>
          </w:tcPr>
          <w:p>
            <w:pPr>
              <w:adjustRightInd w:val="0"/>
              <w:snapToGrid w:val="0"/>
              <w:jc w:val="right"/>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国际会议论文数</w:t>
            </w:r>
          </w:p>
        </w:tc>
        <w:tc>
          <w:tcPr>
            <w:tcW w:w="2318" w:type="pct"/>
            <w:vAlign w:val="center"/>
          </w:tcPr>
          <w:p>
            <w:pPr>
              <w:adjustRightInd w:val="0"/>
              <w:snapToGrid w:val="0"/>
              <w:jc w:val="righ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国内一般刊物发表论文数</w:t>
            </w:r>
          </w:p>
        </w:tc>
        <w:tc>
          <w:tcPr>
            <w:tcW w:w="2318" w:type="pct"/>
            <w:vAlign w:val="center"/>
          </w:tcPr>
          <w:p>
            <w:pPr>
              <w:adjustRightInd w:val="0"/>
              <w:snapToGrid w:val="0"/>
              <w:jc w:val="right"/>
              <w:rPr>
                <w:rFonts w:hint="eastAsia" w:ascii="宋体" w:hAnsi="宋体" w:eastAsia="宋体" w:cs="宋体"/>
                <w:sz w:val="21"/>
                <w:szCs w:val="21"/>
              </w:rPr>
            </w:pPr>
            <w:r>
              <w:rPr>
                <w:rFonts w:hint="eastAsia" w:ascii="宋体" w:hAnsi="宋体" w:eastAsia="宋体" w:cs="宋体"/>
                <w:sz w:val="21"/>
                <w:szCs w:val="21"/>
                <w:lang w:val="en-US" w:eastAsia="zh-CN"/>
              </w:rPr>
              <w:t>107</w:t>
            </w:r>
            <w:r>
              <w:rPr>
                <w:rFonts w:hint="eastAsia" w:ascii="宋体" w:hAnsi="宋体" w:eastAsia="宋体" w:cs="宋体"/>
                <w:sz w:val="21"/>
                <w:szCs w:val="21"/>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省部委奖数</w:t>
            </w:r>
          </w:p>
        </w:tc>
        <w:tc>
          <w:tcPr>
            <w:tcW w:w="2318" w:type="pct"/>
            <w:vAlign w:val="center"/>
          </w:tcPr>
          <w:p>
            <w:pPr>
              <w:adjustRightInd w:val="0"/>
              <w:snapToGrid w:val="0"/>
              <w:jc w:val="right"/>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其它奖数</w:t>
            </w:r>
          </w:p>
        </w:tc>
        <w:tc>
          <w:tcPr>
            <w:tcW w:w="2318" w:type="pct"/>
            <w:vAlign w:val="center"/>
          </w:tcPr>
          <w:p>
            <w:pPr>
              <w:adjustRightInd w:val="0"/>
              <w:snapToGrid w:val="0"/>
              <w:jc w:val="right"/>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项</w:t>
            </w:r>
          </w:p>
        </w:tc>
      </w:tr>
    </w:tbl>
    <w:p>
      <w:pPr>
        <w:spacing w:before="163" w:beforeLines="50"/>
        <w:ind w:firstLine="480" w:firstLineChars="200"/>
        <w:rPr>
          <w:rFonts w:ascii="楷体" w:hAnsi="楷体" w:eastAsia="楷体" w:cs="仿宋_GB2312"/>
        </w:rPr>
      </w:pPr>
      <w:r>
        <w:rPr>
          <w:rFonts w:hint="eastAsia" w:ascii="楷体" w:hAnsi="楷体" w:eastAsia="楷体" w:cs="仿宋_GB2312"/>
          <w:bCs/>
        </w:rPr>
        <w:t>注：国内一般刊物：</w:t>
      </w:r>
      <w:r>
        <w:rPr>
          <w:rFonts w:hint="eastAsia" w:ascii="楷体" w:hAnsi="楷体" w:eastAsia="楷体" w:cs="仿宋_GB2312"/>
        </w:rPr>
        <w:t>除“（二）2”以外的其他国内刊物，只填汇总数量。</w:t>
      </w:r>
    </w:p>
    <w:p>
      <w:pPr>
        <w:spacing w:before="163" w:beforeLines="50"/>
        <w:ind w:firstLine="643" w:firstLineChars="200"/>
        <w:rPr>
          <w:rFonts w:ascii="黑体" w:hAnsi="黑体" w:eastAsia="黑体"/>
          <w:b/>
          <w:sz w:val="32"/>
          <w:szCs w:val="32"/>
        </w:rPr>
      </w:pP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65"/>
        <w:gridCol w:w="4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w:t>
            </w:r>
          </w:p>
        </w:tc>
        <w:tc>
          <w:tcPr>
            <w:tcW w:w="2907" w:type="pct"/>
          </w:tcPr>
          <w:p>
            <w:pPr>
              <w:spacing w:before="163" w:beforeLines="50"/>
              <w:rPr>
                <w:rFonts w:ascii="Arial" w:hAnsi="Arial" w:cs="Arial"/>
                <w:sz w:val="21"/>
                <w:szCs w:val="21"/>
              </w:rPr>
            </w:pPr>
            <w:r>
              <w:rPr>
                <w:rFonts w:hint="eastAsia" w:ascii="Arial" w:hAnsi="Arial" w:cs="Arial"/>
                <w:sz w:val="21"/>
                <w:szCs w:val="21"/>
              </w:rPr>
              <w:t>www.art.bnu.edu.cn/syzx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中心网址年度访问总量</w:t>
            </w:r>
          </w:p>
        </w:tc>
        <w:tc>
          <w:tcPr>
            <w:tcW w:w="2907" w:type="pct"/>
          </w:tcPr>
          <w:p>
            <w:pPr>
              <w:adjustRightInd w:val="0"/>
              <w:snapToGrid w:val="0"/>
              <w:jc w:val="right"/>
              <w:rPr>
                <w:rFonts w:ascii="仿宋" w:hAnsi="仿宋" w:eastAsia="仿宋"/>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826</w:t>
            </w:r>
            <w:r>
              <w:rPr>
                <w:rFonts w:hint="eastAsia" w:ascii="Times New Roman" w:hAnsi="Times New Roman" w:eastAsia="仿宋" w:cs="Times New Roman"/>
                <w:sz w:val="28"/>
                <w:szCs w:val="28"/>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虚拟仿真实验教学项目</w:t>
            </w:r>
          </w:p>
        </w:tc>
        <w:tc>
          <w:tcPr>
            <w:tcW w:w="2907" w:type="pct"/>
          </w:tcPr>
          <w:p>
            <w:pPr>
              <w:adjustRightInd w:val="0"/>
              <w:snapToGrid w:val="0"/>
              <w:jc w:val="right"/>
              <w:rPr>
                <w:rFonts w:ascii="仿宋" w:hAnsi="仿宋" w:eastAsia="仿宋"/>
                <w:sz w:val="28"/>
                <w:szCs w:val="28"/>
              </w:rPr>
            </w:pPr>
            <w:r>
              <w:rPr>
                <w:rFonts w:hint="eastAsia" w:ascii="仿宋" w:hAnsi="仿宋" w:eastAsia="仿宋"/>
                <w:sz w:val="28"/>
                <w:szCs w:val="28"/>
                <w:lang w:val="en-US" w:eastAsia="zh-CN"/>
              </w:rPr>
              <w:t>3</w:t>
            </w:r>
            <w:bookmarkStart w:id="0" w:name="_GoBack"/>
            <w:bookmarkEnd w:id="0"/>
            <w:r>
              <w:rPr>
                <w:rFonts w:hint="eastAsia" w:ascii="仿宋" w:hAnsi="仿宋" w:eastAsia="仿宋"/>
                <w:sz w:val="28"/>
                <w:szCs w:val="28"/>
              </w:rPr>
              <w:t>项</w:t>
            </w:r>
          </w:p>
        </w:tc>
      </w:tr>
    </w:tbl>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黑体" w:hAnsi="黑体" w:eastAsia="黑体" w:cs="仿宋_GB2312"/>
              </w:rPr>
            </w:pPr>
            <w:r>
              <w:rPr>
                <w:rFonts w:hint="eastAsia" w:ascii="黑体" w:hAnsi="黑体" w:eastAsia="黑体" w:cs="仿宋_GB2312"/>
              </w:rPr>
              <w:t>所在示范中心联席会学科组名称</w:t>
            </w:r>
          </w:p>
        </w:tc>
        <w:tc>
          <w:tcPr>
            <w:tcW w:w="2192" w:type="pct"/>
          </w:tcPr>
          <w:p>
            <w:pPr>
              <w:adjustRightInd w:val="0"/>
              <w:snapToGrid w:val="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示范中心联席会传媒学科组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2192" w:type="pct"/>
          </w:tcPr>
          <w:p>
            <w:pPr>
              <w:adjustRightInd w:val="0"/>
              <w:snapToGrid w:val="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r>
    </w:tbl>
    <w:p>
      <w:pPr>
        <w:spacing w:before="163" w:beforeLines="50" w:after="163" w:afterLines="50"/>
        <w:ind w:firstLine="480" w:firstLineChars="200"/>
        <w:rPr>
          <w:rFonts w:ascii="黑体" w:hAnsi="黑体" w:eastAsia="黑体"/>
        </w:rPr>
      </w:pPr>
      <w:r>
        <w:rPr>
          <w:rFonts w:hint="eastAsia" w:ascii="黑体" w:hAnsi="黑体" w:eastAsia="黑体" w:cs="仿宋_GB2312"/>
        </w:rPr>
        <w:t>2.承办大型会议情况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6"/>
        <w:gridCol w:w="1795"/>
        <w:gridCol w:w="1513"/>
        <w:gridCol w:w="1120"/>
        <w:gridCol w:w="1120"/>
        <w:gridCol w:w="1617"/>
        <w:gridCol w:w="7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jc w:val="center"/>
              <w:rPr>
                <w:rFonts w:ascii="黑体" w:hAnsi="黑体" w:eastAsia="黑体"/>
              </w:rPr>
            </w:pPr>
            <w:r>
              <w:rPr>
                <w:rFonts w:hint="eastAsia" w:ascii="黑体" w:hAnsi="黑体" w:eastAsia="黑体" w:cs="宋体"/>
              </w:rPr>
              <w:t>序号</w:t>
            </w:r>
          </w:p>
        </w:tc>
        <w:tc>
          <w:tcPr>
            <w:tcW w:w="1053" w:type="pct"/>
            <w:vAlign w:val="center"/>
          </w:tcPr>
          <w:p>
            <w:pPr>
              <w:jc w:val="center"/>
              <w:rPr>
                <w:rFonts w:ascii="黑体" w:hAnsi="黑体" w:eastAsia="黑体"/>
              </w:rPr>
            </w:pPr>
            <w:r>
              <w:rPr>
                <w:rFonts w:hint="eastAsia" w:ascii="黑体" w:hAnsi="黑体" w:eastAsia="黑体" w:cs="宋体"/>
              </w:rPr>
              <w:t>会议名称</w:t>
            </w:r>
          </w:p>
        </w:tc>
        <w:tc>
          <w:tcPr>
            <w:tcW w:w="888" w:type="pct"/>
            <w:vAlign w:val="center"/>
          </w:tcPr>
          <w:p>
            <w:pPr>
              <w:jc w:val="center"/>
              <w:rPr>
                <w:rFonts w:ascii="黑体" w:hAnsi="黑体" w:eastAsia="黑体"/>
              </w:rPr>
            </w:pPr>
            <w:r>
              <w:rPr>
                <w:rFonts w:hint="eastAsia" w:ascii="黑体" w:hAnsi="黑体" w:eastAsia="黑体" w:cs="宋体"/>
              </w:rPr>
              <w:t>主办单位名称</w:t>
            </w:r>
          </w:p>
        </w:tc>
        <w:tc>
          <w:tcPr>
            <w:tcW w:w="657" w:type="pct"/>
            <w:vAlign w:val="center"/>
          </w:tcPr>
          <w:p>
            <w:pPr>
              <w:jc w:val="center"/>
              <w:rPr>
                <w:rFonts w:ascii="黑体" w:hAnsi="黑体" w:eastAsia="黑体"/>
              </w:rPr>
            </w:pPr>
            <w:r>
              <w:rPr>
                <w:rFonts w:hint="eastAsia" w:ascii="黑体" w:hAnsi="黑体" w:eastAsia="黑体" w:cs="宋体"/>
              </w:rPr>
              <w:t>会议主席</w:t>
            </w:r>
          </w:p>
        </w:tc>
        <w:tc>
          <w:tcPr>
            <w:tcW w:w="657" w:type="pct"/>
            <w:vAlign w:val="center"/>
          </w:tcPr>
          <w:p>
            <w:pPr>
              <w:jc w:val="center"/>
              <w:rPr>
                <w:rFonts w:ascii="黑体" w:hAnsi="黑体" w:eastAsia="黑体"/>
              </w:rPr>
            </w:pPr>
            <w:r>
              <w:rPr>
                <w:rFonts w:hint="eastAsia" w:ascii="黑体" w:hAnsi="黑体" w:eastAsia="黑体"/>
              </w:rPr>
              <w:t>参加人数</w:t>
            </w:r>
          </w:p>
        </w:tc>
        <w:tc>
          <w:tcPr>
            <w:tcW w:w="949" w:type="pct"/>
            <w:vAlign w:val="center"/>
          </w:tcPr>
          <w:p>
            <w:pPr>
              <w:jc w:val="center"/>
              <w:rPr>
                <w:rFonts w:ascii="黑体" w:hAnsi="黑体" w:eastAsia="黑体"/>
              </w:rPr>
            </w:pPr>
            <w:r>
              <w:rPr>
                <w:rFonts w:hint="eastAsia" w:ascii="黑体" w:hAnsi="黑体" w:eastAsia="黑体" w:cs="宋体"/>
              </w:rPr>
              <w:t>时间</w:t>
            </w:r>
          </w:p>
        </w:tc>
        <w:tc>
          <w:tcPr>
            <w:tcW w:w="449" w:type="pct"/>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2021中国电影发展起伏与主流价值观呈现</w:t>
            </w:r>
          </w:p>
        </w:tc>
        <w:tc>
          <w:tcPr>
            <w:tcW w:w="888"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北师大教育集团</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2021.12.16</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“增强审美教育 坚定文化自信：中小学影视教育高端论坛”暨“全国中小学影视教育师资人才培养项目第三期”</w:t>
            </w:r>
          </w:p>
        </w:tc>
        <w:tc>
          <w:tcPr>
            <w:tcW w:w="888"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北京师范大学中国艺术教育</w:t>
            </w:r>
          </w:p>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研究中心联合中国国际广播出版社有限公司</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2021年4月21日</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艺术·科技：新文科背景下的实验教学与人才培养研讨会</w:t>
            </w:r>
          </w:p>
        </w:tc>
        <w:tc>
          <w:tcPr>
            <w:tcW w:w="888"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北京师范大学传媒与艺术国家级实验教学示范中心</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2021年11月2日</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《青少年影视德育通识教程》发布会暨研讨会</w:t>
            </w:r>
          </w:p>
        </w:tc>
        <w:tc>
          <w:tcPr>
            <w:tcW w:w="888"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北京师范大学中国艺术教育研究中心、北京师范大学出版社、人民网·人民数据</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2021年4月27日</w:t>
            </w:r>
            <w:r>
              <w:rPr>
                <w:rFonts w:hint="eastAsia" w:ascii="宋体" w:hAnsi="宋体" w:eastAsia="宋体" w:cs="宋体"/>
                <w:sz w:val="21"/>
                <w:szCs w:val="21"/>
              </w:rPr>
              <w:t>全国性</w:t>
            </w:r>
          </w:p>
        </w:tc>
        <w:tc>
          <w:tcPr>
            <w:tcW w:w="449" w:type="pct"/>
            <w:vAlign w:val="center"/>
          </w:tcPr>
          <w:p>
            <w:pPr>
              <w:adjustRightInd w:val="0"/>
              <w:snapToGrid w:val="0"/>
              <w:jc w:val="center"/>
              <w:rPr>
                <w:rFonts w:hint="eastAsia" w:ascii="宋体" w:hAnsi="宋体" w:eastAsia="宋体" w:cs="宋体"/>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《中国美育2.0学科交叉与新文科视野：普及审美观念与测量方法》高峰论坛</w:t>
            </w:r>
          </w:p>
        </w:tc>
        <w:tc>
          <w:tcPr>
            <w:tcW w:w="888" w:type="pct"/>
            <w:vAlign w:val="center"/>
          </w:tcPr>
          <w:p>
            <w:pPr>
              <w:adjustRightInd w:val="0"/>
              <w:snapToGrid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北京师范大学中国艺术教育研究中心</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2021年3月20日</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第28届大学生电影节湖畔学术讲座</w:t>
            </w:r>
          </w:p>
        </w:tc>
        <w:tc>
          <w:tcPr>
            <w:tcW w:w="888" w:type="pct"/>
            <w:vAlign w:val="center"/>
          </w:tcPr>
          <w:p>
            <w:pPr>
              <w:adjustRightInd w:val="0"/>
              <w:snapToGrid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北京国际电影节·第28届大学生电影节组委会</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2021年9月24日</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44"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053"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“审美与向善：戏剧与影视学名师大讲堂”系列讲座第三季第二十一讲</w:t>
            </w:r>
          </w:p>
        </w:tc>
        <w:tc>
          <w:tcPr>
            <w:tcW w:w="888" w:type="pct"/>
            <w:vAlign w:val="center"/>
          </w:tcPr>
          <w:p>
            <w:pPr>
              <w:adjustRightInd w:val="0"/>
              <w:snapToGrid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教育部高校戏剧与影视学类专业教学指导委员会联合北京师范大学出版社（集团）有限公司</w:t>
            </w:r>
          </w:p>
        </w:tc>
        <w:tc>
          <w:tcPr>
            <w:tcW w:w="657" w:type="pct"/>
            <w:vAlign w:val="center"/>
          </w:tcPr>
          <w:p>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65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1000</w:t>
            </w:r>
          </w:p>
        </w:tc>
        <w:tc>
          <w:tcPr>
            <w:tcW w:w="949"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2021年7月8日</w:t>
            </w:r>
          </w:p>
        </w:tc>
        <w:tc>
          <w:tcPr>
            <w:tcW w:w="44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全国性</w:t>
            </w: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3.参加大型会议情况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946"/>
        <w:gridCol w:w="937"/>
        <w:gridCol w:w="2132"/>
        <w:gridCol w:w="1025"/>
        <w:gridCol w:w="20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267" w:type="pct"/>
            <w:vAlign w:val="center"/>
          </w:tcPr>
          <w:p>
            <w:pPr>
              <w:jc w:val="center"/>
              <w:rPr>
                <w:rFonts w:ascii="黑体" w:hAnsi="黑体" w:eastAsia="黑体"/>
              </w:rPr>
            </w:pPr>
            <w:r>
              <w:rPr>
                <w:rFonts w:hint="eastAsia" w:ascii="黑体" w:hAnsi="黑体" w:eastAsia="黑体" w:cs="宋体"/>
              </w:rPr>
              <w:t>序号</w:t>
            </w:r>
          </w:p>
        </w:tc>
        <w:tc>
          <w:tcPr>
            <w:tcW w:w="1142" w:type="pct"/>
            <w:vAlign w:val="center"/>
          </w:tcPr>
          <w:p>
            <w:pPr>
              <w:jc w:val="center"/>
              <w:rPr>
                <w:rFonts w:ascii="黑体" w:hAnsi="黑体" w:eastAsia="黑体"/>
              </w:rPr>
            </w:pPr>
            <w:r>
              <w:rPr>
                <w:rFonts w:hint="eastAsia" w:ascii="黑体" w:hAnsi="黑体" w:eastAsia="黑体" w:cs="宋体"/>
              </w:rPr>
              <w:t>大会报告名称</w:t>
            </w:r>
          </w:p>
        </w:tc>
        <w:tc>
          <w:tcPr>
            <w:tcW w:w="550" w:type="pct"/>
            <w:vAlign w:val="center"/>
          </w:tcPr>
          <w:p>
            <w:pPr>
              <w:jc w:val="center"/>
              <w:rPr>
                <w:rFonts w:ascii="黑体" w:hAnsi="黑体" w:eastAsia="黑体"/>
              </w:rPr>
            </w:pPr>
            <w:r>
              <w:rPr>
                <w:rFonts w:hint="eastAsia" w:ascii="黑体" w:hAnsi="黑体" w:eastAsia="黑体" w:cs="宋体"/>
              </w:rPr>
              <w:t>报告人</w:t>
            </w:r>
          </w:p>
        </w:tc>
        <w:tc>
          <w:tcPr>
            <w:tcW w:w="1251" w:type="pct"/>
            <w:vAlign w:val="center"/>
          </w:tcPr>
          <w:p>
            <w:pPr>
              <w:jc w:val="center"/>
              <w:rPr>
                <w:rFonts w:ascii="黑体" w:hAnsi="黑体" w:eastAsia="黑体"/>
              </w:rPr>
            </w:pPr>
            <w:r>
              <w:rPr>
                <w:rFonts w:hint="eastAsia" w:ascii="黑体" w:hAnsi="黑体" w:eastAsia="黑体" w:cs="宋体"/>
              </w:rPr>
              <w:t>会议名称</w:t>
            </w:r>
          </w:p>
        </w:tc>
        <w:tc>
          <w:tcPr>
            <w:tcW w:w="602" w:type="pct"/>
            <w:vAlign w:val="center"/>
          </w:tcPr>
          <w:p>
            <w:pPr>
              <w:jc w:val="center"/>
              <w:rPr>
                <w:rFonts w:ascii="黑体" w:hAnsi="黑体" w:eastAsia="黑体"/>
              </w:rPr>
            </w:pPr>
            <w:r>
              <w:rPr>
                <w:rFonts w:hint="eastAsia" w:ascii="黑体" w:hAnsi="黑体" w:eastAsia="黑体" w:cs="宋体"/>
              </w:rPr>
              <w:t>时间</w:t>
            </w:r>
          </w:p>
        </w:tc>
        <w:tc>
          <w:tcPr>
            <w:tcW w:w="1186" w:type="pct"/>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46"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“艺术让精神更空灵沉静”</w:t>
            </w:r>
          </w:p>
        </w:tc>
        <w:tc>
          <w:tcPr>
            <w:tcW w:w="937"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2132"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华东师范大学70周年校庆·2021年名家讲坛暨第33场知名学者学术讲座</w:t>
            </w:r>
          </w:p>
        </w:tc>
        <w:tc>
          <w:tcPr>
            <w:tcW w:w="1025"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2021.6.29</w:t>
            </w:r>
          </w:p>
        </w:tc>
        <w:tc>
          <w:tcPr>
            <w:tcW w:w="1186"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腾讯会议平台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46"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《艺术与科技的重逢》</w:t>
            </w:r>
          </w:p>
        </w:tc>
        <w:tc>
          <w:tcPr>
            <w:tcW w:w="937"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2132"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“艺术与科技•科技与影视”学术研讨会</w:t>
            </w:r>
          </w:p>
        </w:tc>
        <w:tc>
          <w:tcPr>
            <w:tcW w:w="1025"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2021年12月25日</w:t>
            </w:r>
          </w:p>
        </w:tc>
        <w:tc>
          <w:tcPr>
            <w:tcW w:w="1186"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北京师范大学珠海校区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946"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“国家典礼仪式中的文化创意思考”</w:t>
            </w:r>
          </w:p>
        </w:tc>
        <w:tc>
          <w:tcPr>
            <w:tcW w:w="937"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肖向荣</w:t>
            </w:r>
          </w:p>
        </w:tc>
        <w:tc>
          <w:tcPr>
            <w:tcW w:w="2132"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“文化传播大使”计划专题讲座</w:t>
            </w:r>
          </w:p>
        </w:tc>
        <w:tc>
          <w:tcPr>
            <w:tcW w:w="1025" w:type="dxa"/>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2021年4月29日</w:t>
            </w:r>
          </w:p>
        </w:tc>
        <w:tc>
          <w:tcPr>
            <w:tcW w:w="1186" w:type="pct"/>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澳门文化局</w:t>
            </w: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4.承办竞赛情况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6"/>
        <w:gridCol w:w="1771"/>
        <w:gridCol w:w="809"/>
        <w:gridCol w:w="749"/>
        <w:gridCol w:w="1000"/>
        <w:gridCol w:w="903"/>
        <w:gridCol w:w="1741"/>
        <w:gridCol w:w="10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297" w:type="pct"/>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1040" w:type="pct"/>
            <w:vAlign w:val="center"/>
          </w:tcPr>
          <w:p>
            <w:pPr>
              <w:jc w:val="center"/>
              <w:rPr>
                <w:rFonts w:ascii="黑体" w:hAnsi="黑体" w:eastAsia="黑体"/>
              </w:rPr>
            </w:pPr>
            <w:r>
              <w:rPr>
                <w:rFonts w:hint="eastAsia" w:ascii="黑体" w:hAnsi="黑体" w:eastAsia="黑体" w:cs="宋体"/>
              </w:rPr>
              <w:t>竞赛名称</w:t>
            </w:r>
          </w:p>
        </w:tc>
        <w:tc>
          <w:tcPr>
            <w:tcW w:w="475" w:type="pct"/>
            <w:vAlign w:val="center"/>
          </w:tcPr>
          <w:p>
            <w:pPr>
              <w:jc w:val="center"/>
              <w:rPr>
                <w:rFonts w:ascii="黑体" w:hAnsi="黑体" w:eastAsia="黑体"/>
              </w:rPr>
            </w:pPr>
            <w:r>
              <w:rPr>
                <w:rFonts w:hint="eastAsia" w:ascii="黑体" w:hAnsi="黑体" w:eastAsia="黑体"/>
              </w:rPr>
              <w:t>竞赛级别</w:t>
            </w:r>
          </w:p>
        </w:tc>
        <w:tc>
          <w:tcPr>
            <w:tcW w:w="440" w:type="pct"/>
            <w:vAlign w:val="center"/>
          </w:tcPr>
          <w:p>
            <w:pPr>
              <w:jc w:val="center"/>
              <w:rPr>
                <w:rFonts w:ascii="黑体" w:hAnsi="黑体" w:eastAsia="黑体"/>
              </w:rPr>
            </w:pPr>
            <w:r>
              <w:rPr>
                <w:rFonts w:hint="eastAsia" w:ascii="黑体" w:hAnsi="黑体" w:eastAsia="黑体"/>
              </w:rPr>
              <w:t>参赛人数</w:t>
            </w:r>
          </w:p>
        </w:tc>
        <w:tc>
          <w:tcPr>
            <w:tcW w:w="587" w:type="pct"/>
            <w:vAlign w:val="center"/>
          </w:tcPr>
          <w:p>
            <w:pPr>
              <w:jc w:val="center"/>
              <w:rPr>
                <w:rFonts w:ascii="黑体" w:hAnsi="黑体" w:eastAsia="黑体"/>
              </w:rPr>
            </w:pPr>
            <w:r>
              <w:rPr>
                <w:rFonts w:hint="eastAsia" w:ascii="黑体" w:hAnsi="黑体" w:eastAsia="黑体" w:cs="宋体"/>
              </w:rPr>
              <w:t>负责人</w:t>
            </w:r>
          </w:p>
        </w:tc>
        <w:tc>
          <w:tcPr>
            <w:tcW w:w="530" w:type="pct"/>
            <w:vAlign w:val="center"/>
          </w:tcPr>
          <w:p>
            <w:pPr>
              <w:jc w:val="center"/>
              <w:rPr>
                <w:rFonts w:ascii="黑体" w:hAnsi="黑体" w:eastAsia="黑体"/>
              </w:rPr>
            </w:pPr>
            <w:r>
              <w:rPr>
                <w:rFonts w:hint="eastAsia" w:ascii="黑体" w:hAnsi="黑体" w:eastAsia="黑体" w:cs="宋体"/>
              </w:rPr>
              <w:t>职称</w:t>
            </w:r>
          </w:p>
        </w:tc>
        <w:tc>
          <w:tcPr>
            <w:tcW w:w="1022" w:type="pct"/>
            <w:vAlign w:val="center"/>
          </w:tcPr>
          <w:p>
            <w:pPr>
              <w:jc w:val="center"/>
              <w:rPr>
                <w:rFonts w:ascii="黑体" w:hAnsi="黑体" w:eastAsia="黑体"/>
              </w:rPr>
            </w:pPr>
            <w:r>
              <w:rPr>
                <w:rFonts w:hint="eastAsia" w:ascii="黑体" w:hAnsi="黑体" w:eastAsia="黑体" w:cs="宋体"/>
              </w:rPr>
              <w:t>起止时间</w:t>
            </w:r>
          </w:p>
        </w:tc>
        <w:tc>
          <w:tcPr>
            <w:tcW w:w="609" w:type="pct"/>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040" w:type="pct"/>
            <w:vAlign w:val="center"/>
          </w:tcPr>
          <w:p>
            <w:pPr>
              <w:jc w:val="center"/>
              <w:rPr>
                <w:rFonts w:hint="eastAsia" w:ascii="宋体" w:hAnsi="宋体" w:eastAsia="宋体" w:cs="宋体"/>
                <w:bCs/>
                <w:sz w:val="21"/>
                <w:szCs w:val="21"/>
              </w:rPr>
            </w:pPr>
            <w:r>
              <w:rPr>
                <w:rFonts w:hint="eastAsia" w:ascii="宋体" w:hAnsi="宋体" w:eastAsia="宋体" w:cs="宋体"/>
                <w:sz w:val="21"/>
                <w:szCs w:val="21"/>
              </w:rPr>
              <w:t>第21届大学生原创影片大赛</w:t>
            </w:r>
          </w:p>
        </w:tc>
        <w:tc>
          <w:tcPr>
            <w:tcW w:w="475"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国家级</w:t>
            </w:r>
          </w:p>
        </w:tc>
        <w:tc>
          <w:tcPr>
            <w:tcW w:w="44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3000</w:t>
            </w:r>
          </w:p>
        </w:tc>
        <w:tc>
          <w:tcPr>
            <w:tcW w:w="587"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王赟姝</w:t>
            </w:r>
          </w:p>
        </w:tc>
        <w:tc>
          <w:tcPr>
            <w:tcW w:w="53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工程师</w:t>
            </w:r>
          </w:p>
        </w:tc>
        <w:tc>
          <w:tcPr>
            <w:tcW w:w="1022"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2020.3-2021.3</w:t>
            </w:r>
          </w:p>
        </w:tc>
        <w:tc>
          <w:tcPr>
            <w:tcW w:w="609"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104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2021年度大学生影评推选</w:t>
            </w:r>
          </w:p>
        </w:tc>
        <w:tc>
          <w:tcPr>
            <w:tcW w:w="475"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国家级</w:t>
            </w:r>
          </w:p>
        </w:tc>
        <w:tc>
          <w:tcPr>
            <w:tcW w:w="44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900</w:t>
            </w:r>
          </w:p>
        </w:tc>
        <w:tc>
          <w:tcPr>
            <w:tcW w:w="587"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王赟姝</w:t>
            </w:r>
          </w:p>
        </w:tc>
        <w:tc>
          <w:tcPr>
            <w:tcW w:w="53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工程师</w:t>
            </w:r>
          </w:p>
        </w:tc>
        <w:tc>
          <w:tcPr>
            <w:tcW w:w="1022"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2020.3-2021.3</w:t>
            </w:r>
          </w:p>
        </w:tc>
        <w:tc>
          <w:tcPr>
            <w:tcW w:w="609"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104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第七届青年优秀剧本推选</w:t>
            </w:r>
          </w:p>
        </w:tc>
        <w:tc>
          <w:tcPr>
            <w:tcW w:w="475"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国家级</w:t>
            </w:r>
          </w:p>
        </w:tc>
        <w:tc>
          <w:tcPr>
            <w:tcW w:w="44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600</w:t>
            </w:r>
          </w:p>
        </w:tc>
        <w:tc>
          <w:tcPr>
            <w:tcW w:w="587"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王赟姝</w:t>
            </w:r>
          </w:p>
        </w:tc>
        <w:tc>
          <w:tcPr>
            <w:tcW w:w="530"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工程师</w:t>
            </w:r>
          </w:p>
        </w:tc>
        <w:tc>
          <w:tcPr>
            <w:tcW w:w="1022"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2020.3-2021.3</w:t>
            </w:r>
          </w:p>
        </w:tc>
        <w:tc>
          <w:tcPr>
            <w:tcW w:w="609" w:type="pct"/>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20</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5.开展科普活动情况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1"/>
        <w:gridCol w:w="1670"/>
        <w:gridCol w:w="1284"/>
        <w:gridCol w:w="48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417" w:type="pct"/>
            <w:vAlign w:val="center"/>
          </w:tcPr>
          <w:p>
            <w:pPr>
              <w:jc w:val="center"/>
              <w:rPr>
                <w:rFonts w:ascii="黑体" w:hAnsi="黑体" w:eastAsia="黑体" w:cs="宋体"/>
              </w:rPr>
            </w:pPr>
            <w:r>
              <w:rPr>
                <w:rFonts w:hint="eastAsia" w:ascii="黑体" w:hAnsi="黑体" w:eastAsia="黑体" w:cs="宋体"/>
              </w:rPr>
              <w:t>序号</w:t>
            </w:r>
          </w:p>
        </w:tc>
        <w:tc>
          <w:tcPr>
            <w:tcW w:w="980" w:type="pct"/>
            <w:vAlign w:val="center"/>
          </w:tcPr>
          <w:p>
            <w:pPr>
              <w:jc w:val="center"/>
              <w:rPr>
                <w:rFonts w:ascii="黑体" w:hAnsi="黑体" w:eastAsia="黑体" w:cs="宋体"/>
              </w:rPr>
            </w:pPr>
            <w:r>
              <w:rPr>
                <w:rFonts w:hint="eastAsia" w:ascii="黑体" w:hAnsi="黑体" w:eastAsia="黑体" w:cs="宋体"/>
              </w:rPr>
              <w:t>活动开展时间</w:t>
            </w:r>
          </w:p>
        </w:tc>
        <w:tc>
          <w:tcPr>
            <w:tcW w:w="754" w:type="pct"/>
            <w:vAlign w:val="center"/>
          </w:tcPr>
          <w:p>
            <w:pPr>
              <w:jc w:val="center"/>
              <w:rPr>
                <w:rFonts w:ascii="黑体" w:hAnsi="黑体" w:eastAsia="黑体" w:cs="宋体"/>
              </w:rPr>
            </w:pPr>
            <w:r>
              <w:rPr>
                <w:rFonts w:hint="eastAsia" w:ascii="黑体" w:hAnsi="黑体" w:eastAsia="黑体" w:cs="宋体"/>
              </w:rPr>
              <w:t>参加人数</w:t>
            </w:r>
          </w:p>
        </w:tc>
        <w:tc>
          <w:tcPr>
            <w:tcW w:w="2847" w:type="pct"/>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ascii="黑体" w:hAnsi="黑体" w:eastAsia="黑体" w:cs="宋体"/>
              </w:rPr>
            </w:pPr>
          </w:p>
        </w:tc>
        <w:tc>
          <w:tcPr>
            <w:tcW w:w="980" w:type="pct"/>
            <w:vAlign w:val="center"/>
          </w:tcPr>
          <w:p>
            <w:pPr>
              <w:jc w:val="center"/>
              <w:rPr>
                <w:rFonts w:ascii="黑体" w:hAnsi="黑体" w:eastAsia="黑体" w:cs="宋体"/>
              </w:rPr>
            </w:pPr>
            <w:r>
              <w:rPr>
                <w:rFonts w:hint="eastAsia" w:ascii="黑体" w:hAnsi="黑体" w:eastAsia="黑体" w:cs="宋体"/>
              </w:rPr>
              <w:t>无</w:t>
            </w:r>
          </w:p>
        </w:tc>
        <w:tc>
          <w:tcPr>
            <w:tcW w:w="754" w:type="pct"/>
            <w:vAlign w:val="center"/>
          </w:tcPr>
          <w:p>
            <w:pPr>
              <w:jc w:val="center"/>
              <w:rPr>
                <w:rFonts w:ascii="黑体" w:hAnsi="黑体" w:eastAsia="黑体" w:cs="宋体"/>
              </w:rPr>
            </w:pPr>
          </w:p>
        </w:tc>
        <w:tc>
          <w:tcPr>
            <w:tcW w:w="2847" w:type="pct"/>
            <w:vAlign w:val="center"/>
          </w:tcPr>
          <w:p>
            <w:pPr>
              <w:jc w:val="center"/>
              <w:rPr>
                <w:rFonts w:ascii="黑体" w:hAnsi="黑体" w:eastAsia="黑体" w:cs="宋体"/>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ascii="黑体" w:hAnsi="黑体" w:eastAsia="黑体" w:cs="宋体"/>
              </w:rPr>
            </w:pPr>
          </w:p>
        </w:tc>
        <w:tc>
          <w:tcPr>
            <w:tcW w:w="980" w:type="pct"/>
            <w:vAlign w:val="center"/>
          </w:tcPr>
          <w:p>
            <w:pPr>
              <w:jc w:val="center"/>
              <w:rPr>
                <w:rFonts w:ascii="黑体" w:hAnsi="黑体" w:eastAsia="黑体" w:cs="宋体"/>
              </w:rPr>
            </w:pPr>
          </w:p>
        </w:tc>
        <w:tc>
          <w:tcPr>
            <w:tcW w:w="754" w:type="pct"/>
            <w:vAlign w:val="center"/>
          </w:tcPr>
          <w:p>
            <w:pPr>
              <w:jc w:val="center"/>
              <w:rPr>
                <w:rFonts w:ascii="黑体" w:hAnsi="黑体" w:eastAsia="黑体" w:cs="宋体"/>
              </w:rPr>
            </w:pPr>
          </w:p>
        </w:tc>
        <w:tc>
          <w:tcPr>
            <w:tcW w:w="2847" w:type="pct"/>
            <w:vAlign w:val="center"/>
          </w:tcPr>
          <w:p>
            <w:pPr>
              <w:jc w:val="center"/>
              <w:rPr>
                <w:rFonts w:ascii="黑体" w:hAnsi="黑体" w:eastAsia="黑体" w:cs="宋体"/>
              </w:rPr>
            </w:pP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6.承办培训情况</w:t>
      </w:r>
    </w:p>
    <w:tbl>
      <w:tblPr>
        <w:tblStyle w:val="7"/>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440"/>
        <w:gridCol w:w="1080"/>
        <w:gridCol w:w="1011"/>
        <w:gridCol w:w="1509"/>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720" w:type="dxa"/>
            <w:vAlign w:val="center"/>
          </w:tcPr>
          <w:p>
            <w:pPr>
              <w:jc w:val="center"/>
              <w:rPr>
                <w:rFonts w:ascii="黑体" w:hAnsi="黑体" w:eastAsia="黑体"/>
              </w:rPr>
            </w:pPr>
            <w:r>
              <w:rPr>
                <w:rFonts w:hint="eastAsia" w:ascii="黑体" w:hAnsi="黑体" w:eastAsia="黑体" w:cs="宋体"/>
              </w:rPr>
              <w:t>序号</w:t>
            </w:r>
          </w:p>
        </w:tc>
        <w:tc>
          <w:tcPr>
            <w:tcW w:w="1800" w:type="dxa"/>
            <w:vAlign w:val="center"/>
          </w:tcPr>
          <w:p>
            <w:pPr>
              <w:jc w:val="center"/>
              <w:rPr>
                <w:rFonts w:ascii="黑体" w:hAnsi="黑体" w:eastAsia="黑体"/>
              </w:rPr>
            </w:pPr>
            <w:r>
              <w:rPr>
                <w:rFonts w:hint="eastAsia" w:ascii="黑体" w:hAnsi="黑体" w:eastAsia="黑体" w:cs="宋体"/>
              </w:rPr>
              <w:t>培训项目名称</w:t>
            </w:r>
          </w:p>
        </w:tc>
        <w:tc>
          <w:tcPr>
            <w:tcW w:w="1440" w:type="dxa"/>
            <w:vAlign w:val="center"/>
          </w:tcPr>
          <w:p>
            <w:pPr>
              <w:jc w:val="center"/>
              <w:rPr>
                <w:rFonts w:ascii="黑体" w:hAnsi="黑体" w:eastAsia="黑体"/>
              </w:rPr>
            </w:pPr>
            <w:r>
              <w:rPr>
                <w:rFonts w:hint="eastAsia" w:ascii="黑体" w:hAnsi="黑体" w:eastAsia="黑体"/>
              </w:rPr>
              <w:t>培训人数</w:t>
            </w:r>
          </w:p>
        </w:tc>
        <w:tc>
          <w:tcPr>
            <w:tcW w:w="1080" w:type="dxa"/>
            <w:vAlign w:val="center"/>
          </w:tcPr>
          <w:p>
            <w:pPr>
              <w:jc w:val="center"/>
              <w:rPr>
                <w:rFonts w:ascii="黑体" w:hAnsi="黑体" w:eastAsia="黑体"/>
              </w:rPr>
            </w:pPr>
            <w:r>
              <w:rPr>
                <w:rFonts w:hint="eastAsia" w:ascii="黑体" w:hAnsi="黑体" w:eastAsia="黑体" w:cs="宋体"/>
              </w:rPr>
              <w:t>负责人</w:t>
            </w:r>
          </w:p>
        </w:tc>
        <w:tc>
          <w:tcPr>
            <w:tcW w:w="1011" w:type="dxa"/>
            <w:vAlign w:val="center"/>
          </w:tcPr>
          <w:p>
            <w:pPr>
              <w:jc w:val="center"/>
              <w:rPr>
                <w:rFonts w:ascii="黑体" w:hAnsi="黑体" w:eastAsia="黑体"/>
              </w:rPr>
            </w:pPr>
            <w:r>
              <w:rPr>
                <w:rFonts w:hint="eastAsia" w:ascii="黑体" w:hAnsi="黑体" w:eastAsia="黑体" w:cs="宋体"/>
              </w:rPr>
              <w:t>职称</w:t>
            </w:r>
          </w:p>
        </w:tc>
        <w:tc>
          <w:tcPr>
            <w:tcW w:w="1509" w:type="dxa"/>
            <w:vAlign w:val="center"/>
          </w:tcPr>
          <w:p>
            <w:pPr>
              <w:jc w:val="center"/>
              <w:rPr>
                <w:rFonts w:ascii="黑体" w:hAnsi="黑体" w:eastAsia="黑体"/>
              </w:rPr>
            </w:pPr>
            <w:r>
              <w:rPr>
                <w:rFonts w:hint="eastAsia" w:ascii="黑体" w:hAnsi="黑体" w:eastAsia="黑体" w:cs="宋体"/>
              </w:rPr>
              <w:t>起止时间</w:t>
            </w:r>
          </w:p>
        </w:tc>
        <w:tc>
          <w:tcPr>
            <w:tcW w:w="1080"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1800"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中小学影视教育师资人才培养项目第二期</w:t>
            </w:r>
          </w:p>
        </w:tc>
        <w:tc>
          <w:tcPr>
            <w:tcW w:w="144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08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周星</w:t>
            </w:r>
          </w:p>
        </w:tc>
        <w:tc>
          <w:tcPr>
            <w:tcW w:w="1011"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教授</w:t>
            </w:r>
          </w:p>
        </w:tc>
        <w:tc>
          <w:tcPr>
            <w:tcW w:w="1509"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2021.4.23</w:t>
            </w:r>
          </w:p>
        </w:tc>
        <w:tc>
          <w:tcPr>
            <w:tcW w:w="108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80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振兴乡村，美育教师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公益培训</w:t>
            </w:r>
          </w:p>
        </w:tc>
        <w:tc>
          <w:tcPr>
            <w:tcW w:w="144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080"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周星</w:t>
            </w:r>
          </w:p>
        </w:tc>
        <w:tc>
          <w:tcPr>
            <w:tcW w:w="1011"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教授</w:t>
            </w:r>
          </w:p>
        </w:tc>
        <w:tc>
          <w:tcPr>
            <w:tcW w:w="1509"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2021.11.25-12.15</w:t>
            </w:r>
          </w:p>
        </w:tc>
        <w:tc>
          <w:tcPr>
            <w:tcW w:w="108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800" w:type="dxa"/>
            <w:vAlign w:val="center"/>
          </w:tcPr>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全国中小学影视教育师资人才培养项目第三期</w:t>
            </w:r>
          </w:p>
        </w:tc>
        <w:tc>
          <w:tcPr>
            <w:tcW w:w="144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080"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周星</w:t>
            </w:r>
          </w:p>
        </w:tc>
        <w:tc>
          <w:tcPr>
            <w:tcW w:w="1011"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教授</w:t>
            </w:r>
          </w:p>
        </w:tc>
        <w:tc>
          <w:tcPr>
            <w:tcW w:w="1509"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2021.11.11</w:t>
            </w:r>
          </w:p>
        </w:tc>
        <w:tc>
          <w:tcPr>
            <w:tcW w:w="1080" w:type="dxa"/>
            <w:vAlign w:val="center"/>
          </w:tcPr>
          <w:p>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61" w:type="dxa"/>
            <w:vAlign w:val="center"/>
          </w:tcPr>
          <w:p>
            <w:pPr>
              <w:adjustRightInd w:val="0"/>
              <w:snapToGrid w:val="0"/>
              <w:jc w:val="center"/>
              <w:rPr>
                <w:rFonts w:ascii="楷体" w:hAnsi="楷体" w:eastAsia="楷体" w:cs="Times New Roman"/>
                <w:bCs/>
              </w:rPr>
            </w:pPr>
            <w:r>
              <w:rPr>
                <w:rFonts w:hint="eastAsia" w:ascii="楷体" w:hAnsi="楷体" w:eastAsia="楷体" w:cs="Times New Roman"/>
                <w:bCs/>
                <w:lang w:val="en-US" w:eastAsia="zh-CN"/>
              </w:rPr>
              <w:t>150</w:t>
            </w:r>
            <w:r>
              <w:rPr>
                <w:rFonts w:hint="eastAsia" w:ascii="楷体" w:hAnsi="楷体" w:eastAsia="楷体" w:cs="Times New Roman"/>
                <w:bCs/>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62" w:type="dxa"/>
            <w:vMerge w:val="restart"/>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62" w:type="dxa"/>
            <w:vMerge w:val="continue"/>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4262"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无</w:t>
            </w:r>
          </w:p>
        </w:tc>
      </w:tr>
    </w:tbl>
    <w:p>
      <w:pPr>
        <w:adjustRightInd w:val="0"/>
        <w:snapToGrid w:val="0"/>
        <w:ind w:firstLine="480" w:firstLineChars="200"/>
        <w:rPr>
          <w:rFonts w:ascii="黑体" w:hAnsi="黑体" w:eastAsia="黑体" w:cs="Times New Roman"/>
          <w:b/>
          <w:bCs/>
          <w:sz w:val="32"/>
          <w:szCs w:val="32"/>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widowControl/>
        <w:rPr>
          <w:rFonts w:ascii="仿宋" w:hAnsi="仿宋" w:eastAsia="仿宋" w:cs="Times New Roman"/>
          <w:kern w:val="0"/>
          <w:sz w:val="32"/>
          <w:szCs w:val="32"/>
        </w:rPr>
      </w:pPr>
    </w:p>
    <w:sectPr>
      <w:footerReference r:id="rId4"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4"/>
          <w:jc w:val="center"/>
        </w:pPr>
        <w:r>
          <w:fldChar w:fldCharType="begin"/>
        </w:r>
        <w:r>
          <w:instrText xml:space="preserve">PAGE   \* MERGEFORMAT</w:instrText>
        </w:r>
        <w:r>
          <w:fldChar w:fldCharType="separate"/>
        </w:r>
        <w:r>
          <w:rPr>
            <w:lang w:val="zh-CN"/>
          </w:rPr>
          <w:t>7</w:t>
        </w:r>
        <w: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4"/>
          <w:jc w:val="center"/>
        </w:pPr>
        <w:r>
          <w:fldChar w:fldCharType="begin"/>
        </w:r>
        <w:r>
          <w:instrText xml:space="preserve">PAGE   \* MERGEFORMAT</w:instrText>
        </w:r>
        <w:r>
          <w:fldChar w:fldCharType="separate"/>
        </w:r>
        <w:r>
          <w:rPr>
            <w:lang w:val="zh-CN"/>
          </w:rPr>
          <w:t>6</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C4C23"/>
    <w:multiLevelType w:val="singleLevel"/>
    <w:tmpl w:val="B29C4C23"/>
    <w:lvl w:ilvl="0" w:tentative="0">
      <w:start w:val="2"/>
      <w:numFmt w:val="chineseCounting"/>
      <w:suff w:val="nothing"/>
      <w:lvlText w:val="%1、"/>
      <w:lvlJc w:val="left"/>
      <w:rPr>
        <w:rFonts w:hint="eastAsia"/>
      </w:rPr>
    </w:lvl>
  </w:abstractNum>
  <w:abstractNum w:abstractNumId="1">
    <w:nsid w:val="F7FCD664"/>
    <w:multiLevelType w:val="singleLevel"/>
    <w:tmpl w:val="F7FCD664"/>
    <w:lvl w:ilvl="0" w:tentative="0">
      <w:start w:val="2"/>
      <w:numFmt w:val="chineseCounting"/>
      <w:suff w:val="nothing"/>
      <w:lvlText w:val="%1、"/>
      <w:lvlJc w:val="left"/>
      <w:rPr>
        <w:rFonts w:hint="eastAsia"/>
      </w:rPr>
    </w:lvl>
  </w:abstractNum>
  <w:abstractNum w:abstractNumId="2">
    <w:nsid w:val="2D9751DB"/>
    <w:multiLevelType w:val="singleLevel"/>
    <w:tmpl w:val="2D9751DB"/>
    <w:lvl w:ilvl="0" w:tentative="0">
      <w:start w:val="4"/>
      <w:numFmt w:val="chineseCounting"/>
      <w:suff w:val="nothing"/>
      <w:lvlText w:val="%1、"/>
      <w:lvlJc w:val="left"/>
      <w:rPr>
        <w:rFonts w:hint="eastAsia"/>
      </w:rPr>
    </w:lvl>
  </w:abstractNum>
  <w:abstractNum w:abstractNumId="3">
    <w:nsid w:val="7BFFE29A"/>
    <w:multiLevelType w:val="singleLevel"/>
    <w:tmpl w:val="7BFFE29A"/>
    <w:lvl w:ilvl="0" w:tentative="0">
      <w:start w:val="1"/>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0NDAzNDkzMzA5NzQwODdjMjFmMTY2ZTExNDIwZTcifQ=="/>
  </w:docVars>
  <w:rsids>
    <w:rsidRoot w:val="00731006"/>
    <w:rsid w:val="00004310"/>
    <w:rsid w:val="000237CF"/>
    <w:rsid w:val="00024A5A"/>
    <w:rsid w:val="00044D85"/>
    <w:rsid w:val="00067E42"/>
    <w:rsid w:val="000725DB"/>
    <w:rsid w:val="000768A2"/>
    <w:rsid w:val="000E55E8"/>
    <w:rsid w:val="000E5AF0"/>
    <w:rsid w:val="00107AAA"/>
    <w:rsid w:val="00117856"/>
    <w:rsid w:val="00120246"/>
    <w:rsid w:val="00152120"/>
    <w:rsid w:val="001522DA"/>
    <w:rsid w:val="00153C5C"/>
    <w:rsid w:val="00165AC5"/>
    <w:rsid w:val="00192565"/>
    <w:rsid w:val="001A7536"/>
    <w:rsid w:val="001E1DCA"/>
    <w:rsid w:val="001E7F53"/>
    <w:rsid w:val="001F50D6"/>
    <w:rsid w:val="00246D1F"/>
    <w:rsid w:val="002570D2"/>
    <w:rsid w:val="00260E32"/>
    <w:rsid w:val="00263513"/>
    <w:rsid w:val="0027225C"/>
    <w:rsid w:val="00274DA3"/>
    <w:rsid w:val="00277A91"/>
    <w:rsid w:val="0029464E"/>
    <w:rsid w:val="002B0A00"/>
    <w:rsid w:val="002C669C"/>
    <w:rsid w:val="002D6D43"/>
    <w:rsid w:val="002E1E7B"/>
    <w:rsid w:val="002E73BD"/>
    <w:rsid w:val="002F56DB"/>
    <w:rsid w:val="00346977"/>
    <w:rsid w:val="003514F0"/>
    <w:rsid w:val="003647CF"/>
    <w:rsid w:val="00365C6D"/>
    <w:rsid w:val="00367498"/>
    <w:rsid w:val="00383097"/>
    <w:rsid w:val="00391928"/>
    <w:rsid w:val="00394001"/>
    <w:rsid w:val="003A4001"/>
    <w:rsid w:val="003C4FFF"/>
    <w:rsid w:val="003D0BEF"/>
    <w:rsid w:val="003E338E"/>
    <w:rsid w:val="003E5DE2"/>
    <w:rsid w:val="003E7239"/>
    <w:rsid w:val="004048AD"/>
    <w:rsid w:val="00411736"/>
    <w:rsid w:val="0042301E"/>
    <w:rsid w:val="0045134C"/>
    <w:rsid w:val="004604EC"/>
    <w:rsid w:val="0046335C"/>
    <w:rsid w:val="0049294E"/>
    <w:rsid w:val="004B49A3"/>
    <w:rsid w:val="004B7E75"/>
    <w:rsid w:val="004C1EC8"/>
    <w:rsid w:val="004C1F5E"/>
    <w:rsid w:val="004D2B81"/>
    <w:rsid w:val="004F27AD"/>
    <w:rsid w:val="0050017B"/>
    <w:rsid w:val="00500DA4"/>
    <w:rsid w:val="00504DC8"/>
    <w:rsid w:val="00516971"/>
    <w:rsid w:val="0055030B"/>
    <w:rsid w:val="005513FC"/>
    <w:rsid w:val="00571B4B"/>
    <w:rsid w:val="005938FB"/>
    <w:rsid w:val="005B1605"/>
    <w:rsid w:val="005B7DE6"/>
    <w:rsid w:val="005D0736"/>
    <w:rsid w:val="00613227"/>
    <w:rsid w:val="006167A0"/>
    <w:rsid w:val="00653F3D"/>
    <w:rsid w:val="00682C85"/>
    <w:rsid w:val="00696B85"/>
    <w:rsid w:val="006D4FA6"/>
    <w:rsid w:val="006F597C"/>
    <w:rsid w:val="00707008"/>
    <w:rsid w:val="007306C7"/>
    <w:rsid w:val="00731006"/>
    <w:rsid w:val="007556CC"/>
    <w:rsid w:val="00773249"/>
    <w:rsid w:val="0078672B"/>
    <w:rsid w:val="007921BC"/>
    <w:rsid w:val="007A130E"/>
    <w:rsid w:val="007A7F01"/>
    <w:rsid w:val="007B1657"/>
    <w:rsid w:val="007C26B7"/>
    <w:rsid w:val="008112D4"/>
    <w:rsid w:val="00822384"/>
    <w:rsid w:val="00836E97"/>
    <w:rsid w:val="0085403E"/>
    <w:rsid w:val="008858E7"/>
    <w:rsid w:val="008A2496"/>
    <w:rsid w:val="008D11D8"/>
    <w:rsid w:val="008D604D"/>
    <w:rsid w:val="008D7917"/>
    <w:rsid w:val="008F179F"/>
    <w:rsid w:val="00902DE6"/>
    <w:rsid w:val="00914CFB"/>
    <w:rsid w:val="00923471"/>
    <w:rsid w:val="009651AB"/>
    <w:rsid w:val="009705FC"/>
    <w:rsid w:val="00977BCB"/>
    <w:rsid w:val="00993A69"/>
    <w:rsid w:val="009B20B2"/>
    <w:rsid w:val="009B6A2C"/>
    <w:rsid w:val="009D4AC5"/>
    <w:rsid w:val="009E27AB"/>
    <w:rsid w:val="009F2C4D"/>
    <w:rsid w:val="009F5BCC"/>
    <w:rsid w:val="009F5E62"/>
    <w:rsid w:val="00A85D7B"/>
    <w:rsid w:val="00AA7370"/>
    <w:rsid w:val="00AB27F1"/>
    <w:rsid w:val="00AB2B69"/>
    <w:rsid w:val="00AC36AA"/>
    <w:rsid w:val="00B13307"/>
    <w:rsid w:val="00B23129"/>
    <w:rsid w:val="00B40E37"/>
    <w:rsid w:val="00B44470"/>
    <w:rsid w:val="00B54E1E"/>
    <w:rsid w:val="00B83EE0"/>
    <w:rsid w:val="00BA216D"/>
    <w:rsid w:val="00BC61F0"/>
    <w:rsid w:val="00BD0490"/>
    <w:rsid w:val="00BD4C0F"/>
    <w:rsid w:val="00BD5723"/>
    <w:rsid w:val="00BE60A0"/>
    <w:rsid w:val="00C12FCB"/>
    <w:rsid w:val="00C326E7"/>
    <w:rsid w:val="00C92499"/>
    <w:rsid w:val="00CA4A00"/>
    <w:rsid w:val="00CB6DDC"/>
    <w:rsid w:val="00CC6874"/>
    <w:rsid w:val="00CD22C4"/>
    <w:rsid w:val="00CD2AFA"/>
    <w:rsid w:val="00CF2BB9"/>
    <w:rsid w:val="00D104A7"/>
    <w:rsid w:val="00D15DBA"/>
    <w:rsid w:val="00D415CE"/>
    <w:rsid w:val="00D533D2"/>
    <w:rsid w:val="00D641CC"/>
    <w:rsid w:val="00D737B2"/>
    <w:rsid w:val="00D86262"/>
    <w:rsid w:val="00D8654B"/>
    <w:rsid w:val="00D96757"/>
    <w:rsid w:val="00DA017B"/>
    <w:rsid w:val="00DC08C3"/>
    <w:rsid w:val="00DC5F2B"/>
    <w:rsid w:val="00DD099D"/>
    <w:rsid w:val="00DD27BF"/>
    <w:rsid w:val="00DD3CDA"/>
    <w:rsid w:val="00DE592A"/>
    <w:rsid w:val="00E16FE1"/>
    <w:rsid w:val="00E26B1D"/>
    <w:rsid w:val="00E37A7A"/>
    <w:rsid w:val="00E55BE5"/>
    <w:rsid w:val="00E85D1F"/>
    <w:rsid w:val="00ED1234"/>
    <w:rsid w:val="00EE0B70"/>
    <w:rsid w:val="00EE1D33"/>
    <w:rsid w:val="00EF2DD7"/>
    <w:rsid w:val="00F25D0D"/>
    <w:rsid w:val="00F53442"/>
    <w:rsid w:val="00F9374B"/>
    <w:rsid w:val="00F9467E"/>
    <w:rsid w:val="00FB3D68"/>
    <w:rsid w:val="01400C69"/>
    <w:rsid w:val="023D3627"/>
    <w:rsid w:val="02C17BD4"/>
    <w:rsid w:val="02F634A5"/>
    <w:rsid w:val="03605133"/>
    <w:rsid w:val="03B16EFA"/>
    <w:rsid w:val="0459378E"/>
    <w:rsid w:val="063F0A13"/>
    <w:rsid w:val="065650EA"/>
    <w:rsid w:val="07CA43E4"/>
    <w:rsid w:val="07D1224B"/>
    <w:rsid w:val="095742E5"/>
    <w:rsid w:val="095F548F"/>
    <w:rsid w:val="0B233E4B"/>
    <w:rsid w:val="0C056DDF"/>
    <w:rsid w:val="0C6D6C3B"/>
    <w:rsid w:val="0D021748"/>
    <w:rsid w:val="0DAA2F09"/>
    <w:rsid w:val="0E48700C"/>
    <w:rsid w:val="0F680A5F"/>
    <w:rsid w:val="0FF909DC"/>
    <w:rsid w:val="103A670E"/>
    <w:rsid w:val="110565DB"/>
    <w:rsid w:val="11C0194B"/>
    <w:rsid w:val="123D518D"/>
    <w:rsid w:val="127B2577"/>
    <w:rsid w:val="12B632E1"/>
    <w:rsid w:val="12EB47F1"/>
    <w:rsid w:val="14082DF4"/>
    <w:rsid w:val="14787C89"/>
    <w:rsid w:val="14C50875"/>
    <w:rsid w:val="15F835A6"/>
    <w:rsid w:val="1952433A"/>
    <w:rsid w:val="19D13FFF"/>
    <w:rsid w:val="1BD25A4D"/>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B2B2310"/>
    <w:rsid w:val="2D3B33EE"/>
    <w:rsid w:val="2D731278"/>
    <w:rsid w:val="2E0134AD"/>
    <w:rsid w:val="2E73037E"/>
    <w:rsid w:val="2F063926"/>
    <w:rsid w:val="30671268"/>
    <w:rsid w:val="30AC4667"/>
    <w:rsid w:val="31C93A88"/>
    <w:rsid w:val="324A4137"/>
    <w:rsid w:val="33CC4CA2"/>
    <w:rsid w:val="341D62A5"/>
    <w:rsid w:val="35846BEA"/>
    <w:rsid w:val="35F805F4"/>
    <w:rsid w:val="36B424C7"/>
    <w:rsid w:val="36EA0114"/>
    <w:rsid w:val="37420806"/>
    <w:rsid w:val="378929B1"/>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C9D3E81"/>
    <w:rsid w:val="4D6F4F13"/>
    <w:rsid w:val="50BF2202"/>
    <w:rsid w:val="50F64BD2"/>
    <w:rsid w:val="5267447F"/>
    <w:rsid w:val="541C0DB8"/>
    <w:rsid w:val="549057B6"/>
    <w:rsid w:val="54EB0B2C"/>
    <w:rsid w:val="55A3797B"/>
    <w:rsid w:val="564B654C"/>
    <w:rsid w:val="57FB3A3A"/>
    <w:rsid w:val="588315C7"/>
    <w:rsid w:val="5A441D8B"/>
    <w:rsid w:val="5A652ED1"/>
    <w:rsid w:val="5B48042D"/>
    <w:rsid w:val="5B8D4072"/>
    <w:rsid w:val="5B9D6319"/>
    <w:rsid w:val="5C1462B1"/>
    <w:rsid w:val="5C1E3DBB"/>
    <w:rsid w:val="5E960735"/>
    <w:rsid w:val="5F3F2740"/>
    <w:rsid w:val="60184799"/>
    <w:rsid w:val="60BD4004"/>
    <w:rsid w:val="62BC14D0"/>
    <w:rsid w:val="63F40370"/>
    <w:rsid w:val="65422929"/>
    <w:rsid w:val="658B1D37"/>
    <w:rsid w:val="66346B36"/>
    <w:rsid w:val="664E0FB5"/>
    <w:rsid w:val="668C4E54"/>
    <w:rsid w:val="66EE5C84"/>
    <w:rsid w:val="676E431C"/>
    <w:rsid w:val="687A746A"/>
    <w:rsid w:val="69700539"/>
    <w:rsid w:val="699A52B8"/>
    <w:rsid w:val="6BD26CEC"/>
    <w:rsid w:val="6C701EE0"/>
    <w:rsid w:val="6D80255D"/>
    <w:rsid w:val="6E99612D"/>
    <w:rsid w:val="6F3F1566"/>
    <w:rsid w:val="70C311EF"/>
    <w:rsid w:val="726B0282"/>
    <w:rsid w:val="726B6897"/>
    <w:rsid w:val="74180ECA"/>
    <w:rsid w:val="77AD2C99"/>
    <w:rsid w:val="7A1D7492"/>
    <w:rsid w:val="7BA00C3C"/>
    <w:rsid w:val="7CC01A26"/>
    <w:rsid w:val="7E4707FF"/>
    <w:rsid w:val="7E6235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2"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semiHidden/>
    <w:unhideWhenUsed/>
    <w:qFormat/>
    <w:uiPriority w:val="99"/>
    <w:rPr>
      <w:sz w:val="18"/>
      <w:szCs w:val="18"/>
    </w:rPr>
  </w:style>
  <w:style w:type="paragraph" w:styleId="4">
    <w:name w:val="footer"/>
    <w:basedOn w:val="1"/>
    <w:link w:val="21"/>
    <w:unhideWhenUsed/>
    <w:qFormat/>
    <w:uiPriority w:val="99"/>
    <w:pPr>
      <w:tabs>
        <w:tab w:val="center" w:pos="4153"/>
        <w:tab w:val="right" w:pos="8306"/>
      </w:tabs>
      <w:snapToGrid w:val="0"/>
      <w:jc w:val="left"/>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2"/>
    <w:pPr>
      <w:jc w:val="left"/>
    </w:pPr>
    <w:rPr>
      <w:rFonts w:cs="Times New Roman"/>
      <w:kern w:val="0"/>
    </w:rPr>
  </w:style>
  <w:style w:type="table" w:styleId="8">
    <w:name w:val="Table Grid"/>
    <w:basedOn w:val="7"/>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800080"/>
      <w:u w:val="none"/>
    </w:rPr>
  </w:style>
  <w:style w:type="character" w:styleId="12">
    <w:name w:val="Emphasis"/>
    <w:basedOn w:val="9"/>
    <w:qFormat/>
    <w:uiPriority w:val="0"/>
    <w:rPr>
      <w:i/>
    </w:rPr>
  </w:style>
  <w:style w:type="character" w:styleId="13">
    <w:name w:val="HTML Definition"/>
    <w:basedOn w:val="9"/>
    <w:semiHidden/>
    <w:unhideWhenUsed/>
    <w:qFormat/>
    <w:uiPriority w:val="99"/>
    <w:rPr>
      <w:i/>
    </w:rPr>
  </w:style>
  <w:style w:type="character" w:styleId="14">
    <w:name w:val="Hyperlink"/>
    <w:basedOn w:val="9"/>
    <w:qFormat/>
    <w:uiPriority w:val="0"/>
    <w:rPr>
      <w:color w:val="0000FF"/>
      <w:u w:val="single"/>
    </w:rPr>
  </w:style>
  <w:style w:type="character" w:styleId="15">
    <w:name w:val="HTML Code"/>
    <w:basedOn w:val="9"/>
    <w:semiHidden/>
    <w:unhideWhenUsed/>
    <w:qFormat/>
    <w:uiPriority w:val="99"/>
    <w:rPr>
      <w:rFonts w:ascii="Consolas" w:hAnsi="Consolas" w:eastAsia="Consolas" w:cs="Consolas"/>
      <w:color w:val="C7254E"/>
      <w:sz w:val="21"/>
      <w:szCs w:val="21"/>
      <w:shd w:val="clear" w:color="auto" w:fill="F9F2F4"/>
    </w:rPr>
  </w:style>
  <w:style w:type="character" w:styleId="16">
    <w:name w:val="HTML Keyboard"/>
    <w:basedOn w:val="9"/>
    <w:semiHidden/>
    <w:unhideWhenUsed/>
    <w:qFormat/>
    <w:uiPriority w:val="99"/>
    <w:rPr>
      <w:rFonts w:hint="default" w:ascii="Consolas" w:hAnsi="Consolas" w:eastAsia="Consolas" w:cs="Consolas"/>
      <w:color w:val="FFFFFF"/>
      <w:sz w:val="21"/>
      <w:szCs w:val="21"/>
      <w:shd w:val="clear" w:color="auto" w:fill="333333"/>
    </w:rPr>
  </w:style>
  <w:style w:type="character" w:styleId="17">
    <w:name w:val="HTML Sample"/>
    <w:basedOn w:val="9"/>
    <w:semiHidden/>
    <w:unhideWhenUsed/>
    <w:qFormat/>
    <w:uiPriority w:val="99"/>
    <w:rPr>
      <w:rFonts w:hint="default" w:ascii="Consolas" w:hAnsi="Consolas" w:eastAsia="Consolas" w:cs="Consolas"/>
      <w:sz w:val="21"/>
      <w:szCs w:val="21"/>
    </w:rPr>
  </w:style>
  <w:style w:type="character" w:customStyle="1" w:styleId="18">
    <w:name w:val="标题 1 字符"/>
    <w:basedOn w:val="9"/>
    <w:link w:val="2"/>
    <w:qFormat/>
    <w:uiPriority w:val="9"/>
    <w:rPr>
      <w:rFonts w:ascii="Times New Roman" w:hAnsi="Times New Roman" w:cs="Times New Roman"/>
      <w:b/>
      <w:bCs/>
      <w:kern w:val="36"/>
      <w:sz w:val="48"/>
      <w:szCs w:val="48"/>
    </w:rPr>
  </w:style>
  <w:style w:type="paragraph" w:customStyle="1" w:styleId="19">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0">
    <w:name w:val="页眉 字符"/>
    <w:basedOn w:val="9"/>
    <w:link w:val="5"/>
    <w:qFormat/>
    <w:uiPriority w:val="99"/>
    <w:rPr>
      <w:sz w:val="18"/>
      <w:szCs w:val="18"/>
    </w:rPr>
  </w:style>
  <w:style w:type="character" w:customStyle="1" w:styleId="21">
    <w:name w:val="页脚 字符"/>
    <w:basedOn w:val="9"/>
    <w:link w:val="4"/>
    <w:qFormat/>
    <w:uiPriority w:val="99"/>
    <w:rPr>
      <w:sz w:val="18"/>
      <w:szCs w:val="18"/>
    </w:rPr>
  </w:style>
  <w:style w:type="character" w:customStyle="1" w:styleId="22">
    <w:name w:val="批注框文本 字符"/>
    <w:basedOn w:val="9"/>
    <w:link w:val="3"/>
    <w:semiHidden/>
    <w:qFormat/>
    <w:uiPriority w:val="99"/>
    <w:rPr>
      <w:kern w:val="2"/>
      <w:sz w:val="18"/>
      <w:szCs w:val="18"/>
    </w:rPr>
  </w:style>
  <w:style w:type="paragraph" w:customStyle="1" w:styleId="23">
    <w:name w:val="p0"/>
    <w:basedOn w:val="1"/>
    <w:qFormat/>
    <w:uiPriority w:val="0"/>
    <w:pPr>
      <w:widowControl/>
    </w:pPr>
    <w:rPr>
      <w:kern w:val="0"/>
      <w:szCs w:val="21"/>
    </w:rPr>
  </w:style>
  <w:style w:type="character" w:customStyle="1" w:styleId="24">
    <w:name w:val="nth-child(1)"/>
    <w:basedOn w:val="9"/>
    <w:qFormat/>
    <w:uiPriority w:val="0"/>
  </w:style>
  <w:style w:type="character" w:customStyle="1" w:styleId="25">
    <w:name w:val="nth-child(1)1"/>
    <w:basedOn w:val="9"/>
    <w:qFormat/>
    <w:uiPriority w:val="0"/>
    <w:rPr>
      <w:bdr w:val="single" w:color="auto" w:sz="12" w:space="0"/>
    </w:rPr>
  </w:style>
  <w:style w:type="character" w:customStyle="1" w:styleId="26">
    <w:name w:val="last-child1"/>
    <w:basedOn w:val="9"/>
    <w:qFormat/>
    <w:uiPriority w:val="0"/>
    <w:rPr>
      <w:color w:val="FB334B"/>
    </w:rPr>
  </w:style>
  <w:style w:type="character" w:customStyle="1" w:styleId="27">
    <w:name w:val="nth-child(3)"/>
    <w:basedOn w:val="9"/>
    <w:qFormat/>
    <w:uiPriority w:val="0"/>
  </w:style>
  <w:style w:type="character" w:customStyle="1" w:styleId="28">
    <w:name w:val="first-child"/>
    <w:basedOn w:val="9"/>
    <w:qFormat/>
    <w:uiPriority w:val="0"/>
    <w:rPr>
      <w:color w:val="999999"/>
    </w:rPr>
  </w:style>
  <w:style w:type="paragraph" w:customStyle="1" w:styleId="29">
    <w:name w:val="Default"/>
    <w:qFormat/>
    <w:uiPriority w:val="0"/>
    <w:pPr>
      <w:autoSpaceDE w:val="0"/>
      <w:autoSpaceDN w:val="0"/>
      <w:adjustRightInd w:val="0"/>
    </w:pPr>
    <w:rPr>
      <w:rFonts w:ascii="Arial Unicode MS" w:hAnsi="Calibri"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27</Pages>
  <Words>14254</Words>
  <Characters>16453</Characters>
  <Lines>39</Lines>
  <Paragraphs>11</Paragraphs>
  <TotalTime>1</TotalTime>
  <ScaleCrop>false</ScaleCrop>
  <LinksUpToDate>false</LinksUpToDate>
  <CharactersWithSpaces>16482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2020-01-15T09:05:00Z</dcterms:created>
  <dc:creator>hao tong</dc:creator>
  <cp:lastModifiedBy>贇姝姝</cp:lastModifiedBy>
  <cp:lastPrinted>2018-12-06T01:39:00Z</cp:lastPrinted>
  <dcterms:modified xsi:type="dcterms:W3CDTF">2023-06-16T03:02:49Z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7082420057224280B1874EBC302A5B3B_13</vt:lpwstr>
  </property>
</Properties>
</file>